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6E2F3CCD" w:rsidR="00983BC4" w:rsidRPr="004F0907" w:rsidRDefault="00983BC4" w:rsidP="00983BC4">
      <w:pPr>
        <w:pStyle w:val="CRCoverPage"/>
        <w:tabs>
          <w:tab w:val="right" w:pos="9639"/>
        </w:tabs>
        <w:spacing w:after="0"/>
        <w:rPr>
          <w:b/>
          <w:i/>
          <w:noProof/>
          <w:sz w:val="28"/>
          <w:lang w:val="en-US"/>
        </w:rPr>
      </w:pPr>
      <w:r>
        <w:rPr>
          <w:b/>
          <w:noProof/>
          <w:sz w:val="24"/>
        </w:rPr>
        <w:t>3GPP TSG-RAN</w:t>
      </w:r>
      <w:r w:rsidR="008F118D">
        <w:rPr>
          <w:b/>
          <w:noProof/>
          <w:sz w:val="24"/>
        </w:rPr>
        <w:t xml:space="preserve"> WG</w:t>
      </w:r>
      <w:r>
        <w:rPr>
          <w:b/>
          <w:noProof/>
          <w:sz w:val="24"/>
        </w:rPr>
        <w:t>4 Meeting #</w:t>
      </w:r>
      <w:r w:rsidR="008F118D">
        <w:rPr>
          <w:b/>
          <w:noProof/>
          <w:sz w:val="24"/>
        </w:rPr>
        <w:t>AH1807</w:t>
      </w:r>
      <w:r>
        <w:rPr>
          <w:b/>
          <w:i/>
          <w:noProof/>
          <w:sz w:val="24"/>
        </w:rPr>
        <w:t xml:space="preserve"> </w:t>
      </w:r>
      <w:r>
        <w:rPr>
          <w:b/>
          <w:i/>
          <w:noProof/>
          <w:sz w:val="28"/>
        </w:rPr>
        <w:tab/>
      </w:r>
      <w:r w:rsidR="00381229" w:rsidRPr="00381229">
        <w:rPr>
          <w:b/>
          <w:i/>
          <w:noProof/>
          <w:sz w:val="28"/>
        </w:rPr>
        <w:t>R4-1808724</w:t>
      </w:r>
    </w:p>
    <w:p w14:paraId="35A51CF0" w14:textId="0DE83BE6" w:rsidR="00983BC4" w:rsidRPr="00CB7577" w:rsidRDefault="008F118D" w:rsidP="00CB7577">
      <w:pPr>
        <w:tabs>
          <w:tab w:val="left" w:pos="1985"/>
        </w:tabs>
        <w:spacing w:before="0" w:after="180"/>
        <w:rPr>
          <w:rFonts w:ascii="Arial" w:hAnsi="Arial" w:cs="Arial"/>
          <w:b/>
          <w:noProof/>
          <w:sz w:val="24"/>
        </w:rPr>
      </w:pPr>
      <w:r>
        <w:rPr>
          <w:rFonts w:ascii="Arial" w:hAnsi="Arial" w:cs="Arial"/>
          <w:b/>
          <w:noProof/>
          <w:sz w:val="24"/>
        </w:rPr>
        <w:t>Montreal</w:t>
      </w:r>
      <w:r w:rsidR="00983BC4" w:rsidRPr="00706FBB">
        <w:rPr>
          <w:rFonts w:ascii="Arial" w:hAnsi="Arial" w:cs="Arial"/>
          <w:b/>
          <w:noProof/>
          <w:sz w:val="24"/>
        </w:rPr>
        <w:t xml:space="preserve">, </w:t>
      </w:r>
      <w:r>
        <w:rPr>
          <w:rFonts w:ascii="Arial" w:hAnsi="Arial" w:cs="Arial"/>
          <w:b/>
          <w:noProof/>
          <w:sz w:val="24"/>
        </w:rPr>
        <w:t>Canada, July</w:t>
      </w:r>
      <w:r w:rsidR="00997326">
        <w:rPr>
          <w:rFonts w:ascii="Arial" w:hAnsi="Arial" w:cs="Arial"/>
          <w:b/>
          <w:noProof/>
          <w:sz w:val="24"/>
        </w:rPr>
        <w:t xml:space="preserve"> 2 – 6</w:t>
      </w:r>
      <w:r w:rsidR="00983BC4" w:rsidRPr="00706FBB">
        <w:rPr>
          <w:rFonts w:ascii="Arial" w:hAnsi="Arial" w:cs="Arial"/>
          <w:b/>
          <w:noProof/>
          <w:sz w:val="24"/>
        </w:rPr>
        <w:t>, 2018</w:t>
      </w:r>
    </w:p>
    <w:p w14:paraId="1A53EEB8" w14:textId="10F63380"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381229" w:rsidRPr="00381229">
        <w:rPr>
          <w:rFonts w:ascii="Arial" w:hAnsi="Arial" w:cs="Arial"/>
          <w:b/>
          <w:sz w:val="24"/>
        </w:rPr>
        <w:t>5.2.8.4</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EED8D13"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69B7" w:rsidRPr="00A369B7">
        <w:rPr>
          <w:rFonts w:ascii="Arial" w:hAnsi="Arial" w:cs="Arial"/>
          <w:b/>
          <w:sz w:val="24"/>
        </w:rPr>
        <w:t>On BWP switching</w:t>
      </w:r>
      <w:r w:rsidR="008F118D">
        <w:rPr>
          <w:rFonts w:ascii="Arial" w:hAnsi="Arial" w:cs="Arial"/>
          <w:b/>
          <w:sz w:val="24"/>
        </w:rPr>
        <w:t xml:space="preserve"> Delay</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71F44F6C" w:rsidR="00983BC4" w:rsidRDefault="0001238B" w:rsidP="005D2062">
      <w:pPr>
        <w:jc w:val="both"/>
        <w:rPr>
          <w:lang w:eastAsia="zh-CN"/>
        </w:rPr>
      </w:pPr>
      <w:r>
        <w:rPr>
          <w:lang w:eastAsia="zh-CN"/>
        </w:rPr>
        <w:t>In RAN4 #87</w:t>
      </w:r>
      <w:r w:rsidR="007F5886">
        <w:rPr>
          <w:lang w:eastAsia="zh-CN"/>
        </w:rPr>
        <w:t xml:space="preserve"> meeting </w:t>
      </w:r>
      <w:r w:rsidR="00410854">
        <w:rPr>
          <w:lang w:eastAsia="zh-CN"/>
        </w:rPr>
        <w:t>one WF</w:t>
      </w:r>
      <w:r w:rsidR="007F5886">
        <w:rPr>
          <w:lang w:eastAsia="zh-CN"/>
        </w:rPr>
        <w:t xml:space="preserve"> was approved </w:t>
      </w:r>
      <w:r w:rsidR="00410854">
        <w:rPr>
          <w:lang w:eastAsia="zh-CN"/>
        </w:rPr>
        <w:t>by</w:t>
      </w:r>
      <w:r w:rsidR="007F5886">
        <w:rPr>
          <w:lang w:eastAsia="zh-CN"/>
        </w:rPr>
        <w:t xml:space="preserve"> RAN4 [1] for </w:t>
      </w:r>
      <w:r w:rsidR="00410854">
        <w:rPr>
          <w:lang w:eastAsia="zh-CN"/>
        </w:rPr>
        <w:t>BMP switching</w:t>
      </w:r>
      <w:r w:rsidR="005A1DF7">
        <w:rPr>
          <w:lang w:eastAsia="zh-CN"/>
        </w:rPr>
        <w:t>.</w:t>
      </w:r>
      <w:r>
        <w:rPr>
          <w:lang w:eastAsia="zh-CN"/>
        </w:rPr>
        <w:t xml:space="preserve"> The text in the WF related to the delay duration of BWP switching</w:t>
      </w:r>
      <w:r w:rsidR="007F5886">
        <w:rPr>
          <w:lang w:eastAsia="zh-CN"/>
        </w:rPr>
        <w:t xml:space="preserve">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6588385C" w14:textId="77777777" w:rsidR="0001238B" w:rsidRPr="0001238B" w:rsidRDefault="0001238B" w:rsidP="0001238B">
            <w:pPr>
              <w:pStyle w:val="Header"/>
              <w:numPr>
                <w:ilvl w:val="0"/>
                <w:numId w:val="8"/>
              </w:numPr>
              <w:snapToGrid w:val="0"/>
              <w:spacing w:before="0"/>
              <w:rPr>
                <w:rFonts w:cs="Arial"/>
                <w:b w:val="0"/>
              </w:rPr>
            </w:pPr>
            <w:r w:rsidRPr="0001238B">
              <w:rPr>
                <w:rFonts w:cs="Arial"/>
                <w:b w:val="0"/>
              </w:rPr>
              <w:t>Agreement during online session</w:t>
            </w:r>
          </w:p>
          <w:p w14:paraId="35E71051" w14:textId="77777777" w:rsidR="0001238B" w:rsidRPr="0001238B" w:rsidRDefault="0001238B" w:rsidP="0001238B">
            <w:pPr>
              <w:pStyle w:val="Header"/>
              <w:numPr>
                <w:ilvl w:val="1"/>
                <w:numId w:val="28"/>
              </w:numPr>
              <w:snapToGrid w:val="0"/>
              <w:spacing w:before="0"/>
              <w:rPr>
                <w:rFonts w:cs="Arial"/>
                <w:b w:val="0"/>
                <w:highlight w:val="green"/>
              </w:rPr>
            </w:pPr>
            <w:r w:rsidRPr="0001238B">
              <w:rPr>
                <w:rFonts w:cs="Arial"/>
                <w:b w:val="0"/>
                <w:highlight w:val="green"/>
              </w:rPr>
              <w:t>BWP switch delay requirement is specified in the unit of slot of the serving cell, if the requirement is defined</w:t>
            </w:r>
          </w:p>
          <w:p w14:paraId="7C69C6AB" w14:textId="77777777" w:rsidR="0001238B" w:rsidRPr="0001238B" w:rsidRDefault="0001238B" w:rsidP="0001238B">
            <w:pPr>
              <w:pStyle w:val="Header"/>
              <w:numPr>
                <w:ilvl w:val="1"/>
                <w:numId w:val="28"/>
              </w:numPr>
              <w:snapToGrid w:val="0"/>
              <w:spacing w:before="0"/>
              <w:rPr>
                <w:rFonts w:cs="Arial"/>
                <w:b w:val="0"/>
                <w:highlight w:val="green"/>
              </w:rPr>
            </w:pPr>
            <w:r w:rsidRPr="0001238B">
              <w:rPr>
                <w:rFonts w:cs="Arial"/>
                <w:b w:val="0"/>
                <w:highlight w:val="green"/>
              </w:rPr>
              <w:t>The reference SCS when SCS changes from SCS1 to SCS2 is the lager SCS</w:t>
            </w:r>
          </w:p>
          <w:p w14:paraId="00F786C3" w14:textId="77777777" w:rsidR="0001238B" w:rsidRPr="0001238B" w:rsidRDefault="0001238B" w:rsidP="0001238B">
            <w:pPr>
              <w:pStyle w:val="Header"/>
              <w:numPr>
                <w:ilvl w:val="0"/>
                <w:numId w:val="8"/>
              </w:numPr>
              <w:snapToGrid w:val="0"/>
              <w:spacing w:before="0"/>
              <w:rPr>
                <w:rFonts w:cs="Arial"/>
                <w:b w:val="0"/>
              </w:rPr>
            </w:pPr>
            <w:r w:rsidRPr="0001238B">
              <w:rPr>
                <w:rFonts w:cs="Arial"/>
                <w:b w:val="0"/>
              </w:rPr>
              <w:t>FFS whether to allow additional BWP switching delay for UE channel estimation</w:t>
            </w:r>
          </w:p>
          <w:p w14:paraId="32F98509" w14:textId="77777777" w:rsidR="0001238B" w:rsidRPr="0001238B" w:rsidRDefault="0001238B" w:rsidP="0001238B">
            <w:pPr>
              <w:pStyle w:val="Header"/>
              <w:numPr>
                <w:ilvl w:val="0"/>
                <w:numId w:val="8"/>
              </w:numPr>
              <w:snapToGrid w:val="0"/>
              <w:spacing w:before="0"/>
              <w:rPr>
                <w:rFonts w:cs="Arial"/>
                <w:b w:val="0"/>
              </w:rPr>
            </w:pPr>
            <w:r w:rsidRPr="0001238B">
              <w:rPr>
                <w:rFonts w:cs="Arial"/>
                <w:b w:val="0"/>
              </w:rPr>
              <w:t>Determine in the next meeting the BWP switching delay when only baseband parameters (including DL and UL) are involved</w:t>
            </w:r>
          </w:p>
          <w:p w14:paraId="29718BD4" w14:textId="77777777" w:rsidR="0001238B" w:rsidRPr="0001238B" w:rsidRDefault="0001238B" w:rsidP="0001238B">
            <w:pPr>
              <w:pStyle w:val="Header"/>
              <w:numPr>
                <w:ilvl w:val="1"/>
                <w:numId w:val="27"/>
              </w:numPr>
              <w:snapToGrid w:val="0"/>
              <w:spacing w:before="0"/>
              <w:rPr>
                <w:rFonts w:cs="Arial"/>
                <w:b w:val="0"/>
              </w:rPr>
            </w:pPr>
            <w:r w:rsidRPr="0001238B">
              <w:rPr>
                <w:rFonts w:cs="Arial"/>
                <w:b w:val="0"/>
              </w:rPr>
              <w:t>Option 1: Same as the delay needed for the BWP switching with RF re-tuning</w:t>
            </w:r>
          </w:p>
          <w:p w14:paraId="040E1607" w14:textId="77777777" w:rsidR="0001238B" w:rsidRPr="0001238B" w:rsidRDefault="0001238B" w:rsidP="0001238B">
            <w:pPr>
              <w:pStyle w:val="Header"/>
              <w:numPr>
                <w:ilvl w:val="1"/>
                <w:numId w:val="27"/>
              </w:numPr>
              <w:snapToGrid w:val="0"/>
              <w:spacing w:before="0"/>
              <w:rPr>
                <w:rFonts w:cs="Arial"/>
                <w:b w:val="0"/>
              </w:rPr>
            </w:pPr>
            <w:r w:rsidRPr="0001238B">
              <w:rPr>
                <w:rFonts w:cs="Arial"/>
                <w:b w:val="0"/>
              </w:rPr>
              <w:t>Option 2: Same as the delay needed for the BWP switching with SCS change only</w:t>
            </w:r>
          </w:p>
          <w:p w14:paraId="0A22869C" w14:textId="15C59669" w:rsidR="00402260" w:rsidRPr="00B26005" w:rsidRDefault="00402260" w:rsidP="00402260">
            <w:pPr>
              <w:pStyle w:val="Header"/>
              <w:snapToGrid w:val="0"/>
              <w:spacing w:before="0" w:line="240" w:lineRule="auto"/>
              <w:rPr>
                <w:rFonts w:cs="Arial"/>
              </w:rPr>
            </w:pPr>
          </w:p>
        </w:tc>
      </w:tr>
    </w:tbl>
    <w:p w14:paraId="078B414C" w14:textId="014780B6"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the requirement</w:t>
      </w:r>
      <w:r w:rsidR="00640EAC">
        <w:rPr>
          <w:lang w:val="en-US" w:eastAsia="zh-CN"/>
        </w:rPr>
        <w:t>s</w:t>
      </w:r>
      <w:r w:rsidR="00782D8F">
        <w:rPr>
          <w:lang w:val="en-US" w:eastAsia="zh-CN"/>
        </w:rPr>
        <w:t xml:space="preserve"> for BWP switching</w:t>
      </w:r>
      <w:r w:rsidR="0001238B">
        <w:rPr>
          <w:lang w:val="en-US" w:eastAsia="zh-CN"/>
        </w:rPr>
        <w:t xml:space="preserve"> delay</w:t>
      </w:r>
      <w:r>
        <w:rPr>
          <w:lang w:val="en-US" w:eastAsia="zh-CN"/>
        </w:rPr>
        <w:t>.</w:t>
      </w:r>
    </w:p>
    <w:p w14:paraId="26195E44" w14:textId="5DD46548" w:rsidR="00845D5D" w:rsidRPr="0001238B" w:rsidRDefault="005D767C" w:rsidP="0001238B">
      <w:pPr>
        <w:pStyle w:val="Heading1"/>
        <w:ind w:left="360"/>
        <w:rPr>
          <w:sz w:val="32"/>
        </w:rPr>
      </w:pPr>
      <w:r>
        <w:rPr>
          <w:sz w:val="32"/>
        </w:rPr>
        <w:t xml:space="preserve">Discussion on </w:t>
      </w:r>
      <w:r w:rsidR="00782D8F">
        <w:rPr>
          <w:sz w:val="32"/>
        </w:rPr>
        <w:t>BWP switching delay requirement</w:t>
      </w:r>
    </w:p>
    <w:p w14:paraId="6CD09E42" w14:textId="00429D6D" w:rsidR="00845D5D" w:rsidRDefault="0001238B" w:rsidP="0002320C">
      <w:pPr>
        <w:pStyle w:val="Heade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There</w:t>
      </w:r>
      <w:r w:rsidR="00845D5D">
        <w:rPr>
          <w:rFonts w:ascii="Times New Roman" w:hAnsi="Times New Roman"/>
          <w:b w:val="0"/>
          <w:noProof w:val="0"/>
          <w:sz w:val="20"/>
          <w:lang w:eastAsia="zh-CN"/>
        </w:rPr>
        <w:t xml:space="preserve"> are multiple terminologies used in RAN4 and RAN1, which include BWP switching delay, transition time of BWP switching. </w:t>
      </w:r>
      <w:r w:rsidR="00A33AF7">
        <w:rPr>
          <w:rFonts w:ascii="Times New Roman" w:hAnsi="Times New Roman"/>
          <w:b w:val="0"/>
          <w:noProof w:val="0"/>
          <w:sz w:val="20"/>
          <w:lang w:eastAsia="zh-CN"/>
        </w:rPr>
        <w:t xml:space="preserve">Firstly, it is necessary to clarify the definitions </w:t>
      </w:r>
    </w:p>
    <w:p w14:paraId="2D720E82" w14:textId="216F3B4A" w:rsidR="00845D5D" w:rsidRDefault="00845D5D" w:rsidP="0002320C">
      <w:pPr>
        <w:pStyle w:val="Header"/>
        <w:numPr>
          <w:ilvl w:val="0"/>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Transition time of BWP switching</w:t>
      </w:r>
      <w:r w:rsidR="00A33AF7">
        <w:rPr>
          <w:rFonts w:ascii="Times New Roman" w:hAnsi="Times New Roman"/>
          <w:b w:val="0"/>
          <w:noProof w:val="0"/>
          <w:sz w:val="20"/>
          <w:lang w:eastAsia="zh-CN"/>
        </w:rPr>
        <w:t xml:space="preserve"> (term used in RAN1): </w:t>
      </w:r>
    </w:p>
    <w:p w14:paraId="43423B3B" w14:textId="77777777" w:rsidR="00A33AF7" w:rsidRPr="00A37214" w:rsidRDefault="00A33AF7" w:rsidP="0002320C">
      <w:pPr>
        <w:pStyle w:val="ListParagraph"/>
        <w:numPr>
          <w:ilvl w:val="1"/>
          <w:numId w:val="25"/>
        </w:numPr>
        <w:overflowPunct w:val="0"/>
        <w:autoSpaceDE w:val="0"/>
        <w:autoSpaceDN w:val="0"/>
        <w:adjustRightInd w:val="0"/>
        <w:spacing w:after="180"/>
        <w:contextualSpacing/>
        <w:textAlignment w:val="baseline"/>
        <w:rPr>
          <w:rFonts w:ascii="Times New Roman" w:hAnsi="Times New Roman"/>
          <w:sz w:val="20"/>
          <w:szCs w:val="20"/>
        </w:rPr>
      </w:pPr>
      <w:r w:rsidRPr="00A37214">
        <w:rPr>
          <w:rFonts w:ascii="Times New Roman" w:hAnsi="Times New Roman"/>
          <w:sz w:val="20"/>
          <w:szCs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5EE72CDC" w14:textId="33569154" w:rsidR="00A33AF7" w:rsidRDefault="00A33AF7" w:rsidP="0002320C">
      <w:pPr>
        <w:pStyle w:val="ListParagraph"/>
        <w:numPr>
          <w:ilvl w:val="1"/>
          <w:numId w:val="25"/>
        </w:numPr>
        <w:overflowPunct w:val="0"/>
        <w:autoSpaceDE w:val="0"/>
        <w:autoSpaceDN w:val="0"/>
        <w:adjustRightInd w:val="0"/>
        <w:spacing w:after="180"/>
        <w:contextualSpacing/>
        <w:textAlignment w:val="baseline"/>
        <w:rPr>
          <w:rFonts w:ascii="Times New Roman" w:hAnsi="Times New Roman"/>
          <w:sz w:val="20"/>
          <w:szCs w:val="20"/>
        </w:rPr>
      </w:pPr>
      <w:r w:rsidRPr="00A37214">
        <w:rPr>
          <w:rFonts w:ascii="Times New Roman" w:hAnsi="Times New Roman"/>
          <w:sz w:val="20"/>
          <w:szCs w:val="20"/>
        </w:rPr>
        <w:t xml:space="preserve">For timer-based active BWP switch, from RAN1 perspective, the transition time of active DL or UL BWP switch is the time duration from the beginning of the </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(FR1) or from the beginning of the half-</w:t>
      </w:r>
      <w:proofErr w:type="spellStart"/>
      <w:r w:rsidRPr="00A37214">
        <w:rPr>
          <w:rFonts w:ascii="Times New Roman" w:hAnsi="Times New Roman"/>
          <w:sz w:val="20"/>
          <w:szCs w:val="20"/>
        </w:rPr>
        <w:t>subframe</w:t>
      </w:r>
      <w:proofErr w:type="spellEnd"/>
      <w:r w:rsidRPr="00A37214">
        <w:rPr>
          <w:rFonts w:ascii="Times New Roman" w:hAnsi="Times New Roman"/>
          <w:sz w:val="20"/>
          <w:szCs w:val="20"/>
        </w:rPr>
        <w:t xml:space="preserve"> (FR2) immediately after a BWP timer expires till the beginning of a slot UE is able to receive </w:t>
      </w:r>
      <w:r w:rsidRPr="00A37214">
        <w:rPr>
          <w:rFonts w:ascii="Times New Roman" w:hAnsi="Times New Roman"/>
          <w:sz w:val="20"/>
          <w:szCs w:val="20"/>
          <w:lang w:eastAsia="zh-TW"/>
        </w:rPr>
        <w:t>DL signals or transmit UL signals in the default DL BWP for paired spectrum or the default DL or UL BWP for unpaired spectrum</w:t>
      </w:r>
      <w:r>
        <w:rPr>
          <w:rFonts w:ascii="Times New Roman" w:hAnsi="Times New Roman"/>
          <w:sz w:val="20"/>
          <w:szCs w:val="20"/>
          <w:lang w:eastAsia="zh-TW"/>
        </w:rPr>
        <w:t>.</w:t>
      </w:r>
    </w:p>
    <w:p w14:paraId="50D3B38E" w14:textId="04F4C23A" w:rsidR="00A33AF7" w:rsidRDefault="0001238B" w:rsidP="0002320C">
      <w:pPr>
        <w:pStyle w:val="Header"/>
        <w:numPr>
          <w:ilvl w:val="0"/>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BWP switching delay, which is same as the transition time for BWP switching, is</w:t>
      </w:r>
      <w:r w:rsidR="00A33AF7">
        <w:rPr>
          <w:rFonts w:ascii="Times New Roman" w:hAnsi="Times New Roman"/>
          <w:b w:val="0"/>
          <w:noProof w:val="0"/>
          <w:sz w:val="20"/>
          <w:lang w:eastAsia="zh-CN"/>
        </w:rPr>
        <w:t xml:space="preserve"> the duration of BWP switching delay is the maximum time it takes UE to physically reconfigure RF and baseband from existing BWP to new BWP. During BWP switching delay, UE is not expected to transmit and receive data.</w:t>
      </w:r>
      <w:r w:rsidR="0002320C">
        <w:rPr>
          <w:rFonts w:ascii="Times New Roman" w:hAnsi="Times New Roman"/>
          <w:b w:val="0"/>
          <w:noProof w:val="0"/>
          <w:sz w:val="20"/>
          <w:lang w:eastAsia="zh-CN"/>
        </w:rPr>
        <w:t xml:space="preserve"> The BWP switching delay includes the following there components:</w:t>
      </w:r>
    </w:p>
    <w:p w14:paraId="351A193B" w14:textId="77952A1D" w:rsidR="00A33AF7" w:rsidRDefault="0002320C" w:rsidP="0002320C">
      <w:pPr>
        <w:pStyle w:val="Header"/>
        <w:numPr>
          <w:ilvl w:val="1"/>
          <w:numId w:val="29"/>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DCI decoding</w:t>
      </w:r>
    </w:p>
    <w:p w14:paraId="5FE6FF91" w14:textId="10F63398" w:rsidR="00A33AF7" w:rsidRDefault="0002320C" w:rsidP="0002320C">
      <w:pPr>
        <w:pStyle w:val="Header"/>
        <w:numPr>
          <w:ilvl w:val="1"/>
          <w:numId w:val="29"/>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preparing for RF/baseband parameters</w:t>
      </w:r>
    </w:p>
    <w:p w14:paraId="524C0E07" w14:textId="184B70F8" w:rsidR="0002320C" w:rsidRDefault="0002320C" w:rsidP="0002320C">
      <w:pPr>
        <w:pStyle w:val="Header"/>
        <w:numPr>
          <w:ilvl w:val="1"/>
          <w:numId w:val="29"/>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Time for RF/baseband reconfiguration (applying new parameters) </w:t>
      </w:r>
    </w:p>
    <w:p w14:paraId="1676F8A0" w14:textId="77777777" w:rsidR="0001238B" w:rsidRDefault="0001238B" w:rsidP="00EE7DBD">
      <w:pPr>
        <w:spacing w:before="0" w:after="180"/>
        <w:contextualSpacing/>
        <w:rPr>
          <w:lang w:eastAsia="zh-CN"/>
        </w:rPr>
      </w:pPr>
    </w:p>
    <w:p w14:paraId="5C5CD7D3" w14:textId="5BF6B612" w:rsidR="009E077E" w:rsidRDefault="00FC5641" w:rsidP="00EE7DBD">
      <w:pPr>
        <w:spacing w:before="0" w:after="180"/>
        <w:contextualSpacing/>
        <w:rPr>
          <w:lang w:eastAsia="zh-CN"/>
        </w:rPr>
      </w:pPr>
      <w:r>
        <w:rPr>
          <w:lang w:eastAsia="zh-CN"/>
        </w:rPr>
        <w:t>In Figure 1</w:t>
      </w:r>
      <w:r w:rsidR="009E077E">
        <w:rPr>
          <w:lang w:eastAsia="zh-CN"/>
        </w:rPr>
        <w:t xml:space="preserve">, the </w:t>
      </w:r>
      <w:r w:rsidR="003F284B">
        <w:rPr>
          <w:lang w:eastAsia="zh-CN"/>
        </w:rPr>
        <w:t>timeline for BWP switching delay</w:t>
      </w:r>
      <w:r w:rsidR="009E077E">
        <w:rPr>
          <w:lang w:eastAsia="zh-CN"/>
        </w:rPr>
        <w:t xml:space="preserve"> is depicted</w:t>
      </w:r>
    </w:p>
    <w:p w14:paraId="4969C693" w14:textId="72ADB5BE" w:rsidR="00A8282D" w:rsidRDefault="00A8282D" w:rsidP="00EE7DBD">
      <w:pPr>
        <w:keepNext/>
        <w:spacing w:before="0" w:after="180"/>
        <w:contextualSpacing/>
      </w:pPr>
    </w:p>
    <w:p w14:paraId="4E2BBCBE" w14:textId="60F19646" w:rsidR="00FC5641" w:rsidRDefault="00400178" w:rsidP="00FC5641">
      <w:pPr>
        <w:keepNext/>
        <w:spacing w:before="0" w:after="180"/>
        <w:contextualSpacing/>
        <w:jc w:val="center"/>
      </w:pPr>
      <w:r>
        <w:object w:dxaOrig="8781" w:dyaOrig="4201" w14:anchorId="0CB39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88.1pt" o:ole="">
            <v:imagedata r:id="rId12" o:title=""/>
          </v:shape>
          <o:OLEObject Type="Embed" ProgID="Visio.Drawing.15" ShapeID="_x0000_i1025" DrawAspect="Content" ObjectID="_1591444758" r:id="rId13"/>
        </w:object>
      </w:r>
    </w:p>
    <w:p w14:paraId="03534D44" w14:textId="220A181F" w:rsidR="009E077E" w:rsidRPr="00D46769" w:rsidRDefault="00A8282D" w:rsidP="00B0760C">
      <w:pPr>
        <w:pStyle w:val="Caption"/>
        <w:jc w:val="center"/>
        <w:rPr>
          <w:b w:val="0"/>
          <w:sz w:val="18"/>
          <w:szCs w:val="18"/>
          <w:lang w:eastAsia="zh-CN"/>
        </w:rPr>
      </w:pPr>
      <w:r w:rsidRPr="00D46769">
        <w:rPr>
          <w:sz w:val="18"/>
          <w:szCs w:val="18"/>
        </w:rPr>
        <w:t xml:space="preserve">Figure </w:t>
      </w:r>
      <w:r w:rsidR="00B0760C" w:rsidRPr="00D46769">
        <w:rPr>
          <w:sz w:val="18"/>
          <w:szCs w:val="18"/>
        </w:rPr>
        <w:t>1</w:t>
      </w:r>
      <w:r w:rsidRPr="00D46769">
        <w:rPr>
          <w:sz w:val="18"/>
          <w:szCs w:val="18"/>
        </w:rPr>
        <w:t xml:space="preserve">: Illustration of the definitions of BWP switching delay </w:t>
      </w:r>
      <w:r w:rsidR="006D564A" w:rsidRPr="00D46769">
        <w:rPr>
          <w:sz w:val="18"/>
          <w:szCs w:val="18"/>
        </w:rPr>
        <w:t xml:space="preserve">for </w:t>
      </w:r>
      <w:r w:rsidR="005047D6" w:rsidRPr="00D46769">
        <w:rPr>
          <w:sz w:val="18"/>
          <w:szCs w:val="18"/>
        </w:rPr>
        <w:t xml:space="preserve">the CC with </w:t>
      </w:r>
      <w:r w:rsidR="006D564A" w:rsidRPr="00D46769">
        <w:rPr>
          <w:sz w:val="18"/>
          <w:szCs w:val="18"/>
        </w:rPr>
        <w:t>SCS=15 kHz</w:t>
      </w:r>
    </w:p>
    <w:p w14:paraId="70D08E18" w14:textId="77777777" w:rsidR="009E077E" w:rsidRDefault="009E077E" w:rsidP="00EE7DBD">
      <w:pPr>
        <w:spacing w:before="0" w:after="180"/>
        <w:contextualSpacing/>
        <w:rPr>
          <w:b/>
          <w:lang w:eastAsia="zh-CN"/>
        </w:rPr>
      </w:pPr>
    </w:p>
    <w:p w14:paraId="22BA15F8" w14:textId="0E5E8439" w:rsidR="009E077E" w:rsidRDefault="003F284B" w:rsidP="003F284B">
      <w:pPr>
        <w:spacing w:before="0" w:after="180"/>
        <w:contextualSpacing/>
        <w:rPr>
          <w:lang w:eastAsia="zh-TW"/>
        </w:rPr>
      </w:pPr>
      <w:r>
        <w:rPr>
          <w:lang w:eastAsia="zh-TW"/>
        </w:rPr>
        <w:t>The BWP switch discussed in RAN4 group focuses on the case of DCI based BWP switching. The delay time</w:t>
      </w:r>
      <w:r w:rsidR="009E077E" w:rsidRPr="003F284B">
        <w:rPr>
          <w:lang w:eastAsia="zh-TW"/>
        </w:rPr>
        <w:t xml:space="preserve"> include</w:t>
      </w:r>
      <w:r>
        <w:rPr>
          <w:lang w:eastAsia="zh-TW"/>
        </w:rPr>
        <w:t>s</w:t>
      </w:r>
      <w:r w:rsidR="009E077E" w:rsidRPr="003F284B">
        <w:rPr>
          <w:lang w:eastAsia="zh-TW"/>
        </w:rPr>
        <w:t xml:space="preserve"> the time used to decode DCI (in case of DCI based BWP switch), recalculate RF/baseband configuration (e.g. spur estimation, synthesizers reprogramming estimation and LOWIF calculation etc.) and the time UE physically reconfigure RF and baseband.</w:t>
      </w:r>
      <w:r>
        <w:t xml:space="preserve"> </w:t>
      </w:r>
      <w:r w:rsidR="009E077E" w:rsidRPr="003F284B">
        <w:rPr>
          <w:lang w:eastAsia="zh-TW"/>
        </w:rPr>
        <w:t xml:space="preserve">No UE DL and UL </w:t>
      </w:r>
      <w:r>
        <w:rPr>
          <w:lang w:eastAsia="zh-TW"/>
        </w:rPr>
        <w:t>data transmission/reception</w:t>
      </w:r>
      <w:r w:rsidR="009E077E" w:rsidRPr="003F284B">
        <w:rPr>
          <w:lang w:eastAsia="zh-TW"/>
        </w:rPr>
        <w:t xml:space="preserve"> is expected</w:t>
      </w:r>
      <w:r>
        <w:rPr>
          <w:lang w:eastAsia="zh-TW"/>
        </w:rPr>
        <w:t xml:space="preserve"> during the BWP switching delay duration</w:t>
      </w:r>
      <w:r w:rsidR="009E077E" w:rsidRPr="003F284B">
        <w:rPr>
          <w:lang w:eastAsia="zh-TW"/>
        </w:rPr>
        <w:t xml:space="preserve">. </w:t>
      </w:r>
    </w:p>
    <w:p w14:paraId="66D5A448" w14:textId="77777777" w:rsidR="00182164" w:rsidRDefault="00182164" w:rsidP="003F284B">
      <w:pPr>
        <w:spacing w:before="0" w:after="180"/>
        <w:contextualSpacing/>
        <w:rPr>
          <w:lang w:eastAsia="zh-TW"/>
        </w:rPr>
      </w:pPr>
    </w:p>
    <w:p w14:paraId="57429157" w14:textId="66E4F58B" w:rsidR="004078A4" w:rsidRDefault="00182164" w:rsidP="004078A4">
      <w:pPr>
        <w:spacing w:before="0" w:after="180"/>
        <w:contextualSpacing/>
        <w:rPr>
          <w:lang w:eastAsia="zh-TW"/>
        </w:rPr>
      </w:pPr>
      <w:r>
        <w:rPr>
          <w:lang w:eastAsia="zh-TW"/>
        </w:rPr>
        <w:t xml:space="preserve">For DCI decoding, it takes </w:t>
      </w:r>
      <w:r w:rsidR="005047D6">
        <w:rPr>
          <w:lang w:eastAsia="zh-TW"/>
        </w:rPr>
        <w:t>about 350us for UE complete this procedure, which includes PDCCH decoding and AGC adjustment.</w:t>
      </w:r>
      <w:r w:rsidR="002F29F3">
        <w:rPr>
          <w:lang w:eastAsia="zh-TW"/>
        </w:rPr>
        <w:t xml:space="preserve"> The time for RF t</w:t>
      </w:r>
      <w:r w:rsidR="00494478">
        <w:rPr>
          <w:lang w:eastAsia="zh-TW"/>
        </w:rPr>
        <w:t>uning/re-tuning is 500 us for FR</w:t>
      </w:r>
      <w:r w:rsidR="002F29F3">
        <w:rPr>
          <w:lang w:eastAsia="zh-TW"/>
        </w:rPr>
        <w:t>1</w:t>
      </w:r>
      <w:r w:rsidR="00494478">
        <w:rPr>
          <w:lang w:eastAsia="zh-TW"/>
        </w:rPr>
        <w:t xml:space="preserve"> (or 250 us for FR2)</w:t>
      </w:r>
      <w:r w:rsidR="002F29F3">
        <w:rPr>
          <w:lang w:eastAsia="zh-TW"/>
        </w:rPr>
        <w:t xml:space="preserve">. The main delay duration for BWP switching comes from the procedure of preparing for the RF/baseband reconfiguration. This stage requires </w:t>
      </w:r>
      <w:r w:rsidR="00494478">
        <w:rPr>
          <w:lang w:eastAsia="zh-TW"/>
        </w:rPr>
        <w:t>RF/baseband parameters preparation including LOWIF</w:t>
      </w:r>
      <w:r w:rsidR="00FE16F9">
        <w:rPr>
          <w:lang w:eastAsia="zh-TW"/>
        </w:rPr>
        <w:t>,</w:t>
      </w:r>
      <w:r w:rsidR="005C58DA">
        <w:rPr>
          <w:lang w:eastAsia="zh-TW"/>
        </w:rPr>
        <w:t xml:space="preserve"> spur estimation</w:t>
      </w:r>
      <w:r w:rsidR="00FE16F9">
        <w:rPr>
          <w:lang w:eastAsia="zh-TW"/>
        </w:rPr>
        <w:t xml:space="preserve"> and other RF/baseband preparation procedure</w:t>
      </w:r>
      <w:r w:rsidR="00494942">
        <w:rPr>
          <w:lang w:eastAsia="zh-TW"/>
        </w:rPr>
        <w:t>, which takes about 3</w:t>
      </w:r>
      <w:r w:rsidR="002F29F3">
        <w:rPr>
          <w:lang w:eastAsia="zh-TW"/>
        </w:rPr>
        <w:t xml:space="preserve"> </w:t>
      </w:r>
      <w:proofErr w:type="spellStart"/>
      <w:r w:rsidR="002F29F3">
        <w:rPr>
          <w:lang w:eastAsia="zh-TW"/>
        </w:rPr>
        <w:t>ms</w:t>
      </w:r>
      <w:proofErr w:type="spellEnd"/>
      <w:r w:rsidR="00FE16F9">
        <w:rPr>
          <w:lang w:eastAsia="zh-TW"/>
        </w:rPr>
        <w:t xml:space="preserve"> in the UE implementation</w:t>
      </w:r>
      <w:r w:rsidR="002F29F3">
        <w:rPr>
          <w:lang w:eastAsia="zh-TW"/>
        </w:rPr>
        <w:t xml:space="preserve">. Therefore, the total delay time for BWP switching is </w:t>
      </w:r>
      <w:r w:rsidR="00494942">
        <w:rPr>
          <w:lang w:eastAsia="zh-TW"/>
        </w:rPr>
        <w:t>4</w:t>
      </w:r>
      <w:r w:rsidR="00D46769">
        <w:rPr>
          <w:lang w:eastAsia="zh-TW"/>
        </w:rPr>
        <w:t xml:space="preserve"> </w:t>
      </w:r>
      <w:proofErr w:type="spellStart"/>
      <w:r w:rsidR="005047D6">
        <w:rPr>
          <w:lang w:eastAsia="zh-TW"/>
        </w:rPr>
        <w:t>ms</w:t>
      </w:r>
      <w:proofErr w:type="spellEnd"/>
      <w:r w:rsidR="005047D6">
        <w:rPr>
          <w:lang w:eastAsia="zh-TW"/>
        </w:rPr>
        <w:t xml:space="preserve">, which </w:t>
      </w:r>
      <w:r w:rsidR="00494942">
        <w:rPr>
          <w:lang w:eastAsia="zh-TW"/>
        </w:rPr>
        <w:t>applies to all the SCS</w:t>
      </w:r>
      <w:r w:rsidR="002F29F3">
        <w:rPr>
          <w:lang w:eastAsia="zh-TW"/>
        </w:rPr>
        <w:t xml:space="preserve">. </w:t>
      </w:r>
    </w:p>
    <w:p w14:paraId="23938B10" w14:textId="77777777" w:rsidR="004078A4" w:rsidRDefault="004078A4" w:rsidP="004078A4">
      <w:pPr>
        <w:spacing w:before="0" w:after="180"/>
        <w:contextualSpacing/>
        <w:rPr>
          <w:lang w:eastAsia="zh-TW"/>
        </w:rPr>
      </w:pPr>
    </w:p>
    <w:p w14:paraId="1EA3E7B5" w14:textId="1CE099CE" w:rsidR="002F29F3" w:rsidRPr="004078A4" w:rsidRDefault="00EC3755" w:rsidP="004078A4">
      <w:pPr>
        <w:spacing w:before="0" w:after="180"/>
        <w:contextualSpacing/>
        <w:rPr>
          <w:lang w:eastAsia="zh-TW"/>
        </w:rPr>
      </w:pPr>
      <w:r>
        <w:rPr>
          <w:lang w:eastAsia="zh-TW"/>
        </w:rPr>
        <w:t>As a result, the previous proposed BWP switching delay time in [2] is not suitable for UE implementation.</w:t>
      </w:r>
      <w:r w:rsidR="002F29F3">
        <w:rPr>
          <w:lang w:eastAsia="zh-TW"/>
        </w:rPr>
        <w:t xml:space="preserve"> </w:t>
      </w:r>
      <w:r>
        <w:rPr>
          <w:lang w:eastAsia="zh-TW"/>
        </w:rPr>
        <w:t xml:space="preserve">Longer delay is required for BWP switching due to the measurement resource remapping. </w:t>
      </w:r>
      <w:r w:rsidR="00C403BE">
        <w:rPr>
          <w:lang w:eastAsia="zh-TW"/>
        </w:rPr>
        <w:t>If</w:t>
      </w:r>
      <w:r w:rsidR="00ED688D">
        <w:rPr>
          <w:lang w:eastAsia="zh-TW"/>
        </w:rPr>
        <w:t xml:space="preserve"> BWP switching</w:t>
      </w:r>
      <w:r w:rsidR="0089287B">
        <w:rPr>
          <w:lang w:eastAsia="zh-TW"/>
        </w:rPr>
        <w:t xml:space="preserve"> delay</w:t>
      </w:r>
      <w:r w:rsidR="00ED688D">
        <w:rPr>
          <w:lang w:eastAsia="zh-TW"/>
        </w:rPr>
        <w:t xml:space="preserve"> coincides with the SMTC window </w:t>
      </w:r>
      <w:r w:rsidR="0089287B">
        <w:rPr>
          <w:lang w:eastAsia="zh-TW"/>
        </w:rPr>
        <w:t>or SSB duration configured for serving cell measurement</w:t>
      </w:r>
      <w:r w:rsidR="00ED688D">
        <w:rPr>
          <w:lang w:eastAsia="zh-TW"/>
        </w:rPr>
        <w:t xml:space="preserve">, the </w:t>
      </w:r>
      <w:r w:rsidR="00FF4694">
        <w:rPr>
          <w:lang w:eastAsia="zh-TW"/>
        </w:rPr>
        <w:t xml:space="preserve">on-going measurement will be impacted. In that case, the BWP switching delay may be further extended. </w:t>
      </w:r>
      <w:r w:rsidR="00C403BE">
        <w:rPr>
          <w:lang w:eastAsia="zh-TW"/>
        </w:rPr>
        <w:t>Furthermore, the defined BWP switching delay is for single serving cell only, the BWP switching delay requirement is FFS if there are multiple BWP switching associated</w:t>
      </w:r>
      <w:bookmarkStart w:id="2" w:name="_GoBack"/>
      <w:bookmarkEnd w:id="2"/>
      <w:r w:rsidR="00C403BE">
        <w:rPr>
          <w:lang w:eastAsia="zh-TW"/>
        </w:rPr>
        <w:t xml:space="preserve"> with multiple serving cells.</w:t>
      </w:r>
    </w:p>
    <w:p w14:paraId="5B032631" w14:textId="521E9A11" w:rsidR="003F284B" w:rsidRPr="0021445F" w:rsidRDefault="002F29F3">
      <w:pPr>
        <w:pStyle w:val="Header"/>
        <w:snapToGrid w:val="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r w:rsidR="00FF4694">
        <w:rPr>
          <w:rFonts w:ascii="Times New Roman" w:hAnsi="Times New Roman"/>
          <w:noProof w:val="0"/>
          <w:color w:val="000000" w:themeColor="text1"/>
          <w:sz w:val="20"/>
          <w:lang w:eastAsia="zh-CN"/>
        </w:rPr>
        <w:t xml:space="preserve">If </w:t>
      </w:r>
      <w:r w:rsidR="0089287B" w:rsidRPr="0089287B">
        <w:rPr>
          <w:rFonts w:ascii="Times New Roman" w:hAnsi="Times New Roman"/>
          <w:noProof w:val="0"/>
          <w:color w:val="000000" w:themeColor="text1"/>
          <w:sz w:val="20"/>
          <w:lang w:eastAsia="zh-CN"/>
        </w:rPr>
        <w:t xml:space="preserve">BWP switching delay </w:t>
      </w:r>
      <w:r w:rsidR="0089287B">
        <w:rPr>
          <w:rFonts w:ascii="Times New Roman" w:hAnsi="Times New Roman"/>
          <w:noProof w:val="0"/>
          <w:color w:val="000000" w:themeColor="text1"/>
          <w:sz w:val="20"/>
          <w:lang w:eastAsia="zh-CN"/>
        </w:rPr>
        <w:t>does not coincide</w:t>
      </w:r>
      <w:r w:rsidR="0089287B" w:rsidRPr="0089287B">
        <w:rPr>
          <w:rFonts w:ascii="Times New Roman" w:hAnsi="Times New Roman"/>
          <w:noProof w:val="0"/>
          <w:color w:val="000000" w:themeColor="text1"/>
          <w:sz w:val="20"/>
          <w:lang w:eastAsia="zh-CN"/>
        </w:rPr>
        <w:t xml:space="preserve"> with </w:t>
      </w:r>
      <w:r w:rsidR="00495AD0">
        <w:rPr>
          <w:rFonts w:ascii="Times New Roman" w:hAnsi="Times New Roman"/>
          <w:noProof w:val="0"/>
          <w:color w:val="000000" w:themeColor="text1"/>
          <w:sz w:val="20"/>
          <w:lang w:eastAsia="zh-CN"/>
        </w:rPr>
        <w:t xml:space="preserve">any on-going inter-frequency/intra-frequency </w:t>
      </w:r>
      <w:r w:rsidR="0089287B" w:rsidRPr="0089287B">
        <w:rPr>
          <w:rFonts w:ascii="Times New Roman" w:hAnsi="Times New Roman"/>
          <w:noProof w:val="0"/>
          <w:color w:val="000000" w:themeColor="text1"/>
          <w:sz w:val="20"/>
          <w:lang w:eastAsia="zh-CN"/>
        </w:rPr>
        <w:t>measurement</w:t>
      </w:r>
      <w:r w:rsidR="0089287B">
        <w:rPr>
          <w:rFonts w:ascii="Times New Roman" w:hAnsi="Times New Roman"/>
          <w:noProof w:val="0"/>
          <w:color w:val="000000" w:themeColor="text1"/>
          <w:sz w:val="20"/>
          <w:lang w:eastAsia="zh-CN"/>
        </w:rPr>
        <w:t>,</w:t>
      </w:r>
      <w:r w:rsidR="0089287B" w:rsidRPr="0089287B">
        <w:rPr>
          <w:rFonts w:ascii="Times New Roman" w:hAnsi="Times New Roman"/>
          <w:noProof w:val="0"/>
          <w:color w:val="000000" w:themeColor="text1"/>
          <w:sz w:val="20"/>
          <w:lang w:eastAsia="zh-CN"/>
        </w:rPr>
        <w:t xml:space="preserve"> </w:t>
      </w:r>
      <w:r w:rsidR="0089287B">
        <w:rPr>
          <w:rFonts w:ascii="Times New Roman" w:hAnsi="Times New Roman"/>
          <w:noProof w:val="0"/>
          <w:color w:val="000000" w:themeColor="text1"/>
          <w:sz w:val="20"/>
          <w:lang w:eastAsia="zh-CN"/>
        </w:rPr>
        <w:t>t</w:t>
      </w:r>
      <w:r w:rsidR="00495AD0">
        <w:rPr>
          <w:rFonts w:ascii="Times New Roman" w:hAnsi="Times New Roman"/>
          <w:noProof w:val="0"/>
          <w:color w:val="000000" w:themeColor="text1"/>
          <w:sz w:val="20"/>
          <w:lang w:eastAsia="zh-CN"/>
        </w:rPr>
        <w:t>he total BWP switching delay is defined in</w:t>
      </w:r>
      <w:r w:rsidRPr="0021445F">
        <w:rPr>
          <w:rFonts w:ascii="Times New Roman" w:hAnsi="Times New Roman"/>
          <w:noProof w:val="0"/>
          <w:color w:val="000000" w:themeColor="text1"/>
          <w:sz w:val="20"/>
          <w:lang w:eastAsia="zh-CN"/>
        </w:rPr>
        <w:t xml:space="preserve"> </w:t>
      </w:r>
      <w:r w:rsidR="00495AD0" w:rsidRPr="00495AD0">
        <w:rPr>
          <w:rFonts w:ascii="Times New Roman" w:hAnsi="Times New Roman"/>
          <w:noProof w:val="0"/>
          <w:color w:val="000000" w:themeColor="text1"/>
          <w:sz w:val="20"/>
          <w:lang w:eastAsia="zh-CN"/>
        </w:rPr>
        <w:fldChar w:fldCharType="begin"/>
      </w:r>
      <w:r w:rsidR="00495AD0" w:rsidRPr="00495AD0">
        <w:rPr>
          <w:rFonts w:ascii="Times New Roman" w:hAnsi="Times New Roman"/>
          <w:noProof w:val="0"/>
          <w:color w:val="000000" w:themeColor="text1"/>
          <w:sz w:val="20"/>
          <w:lang w:eastAsia="zh-CN"/>
        </w:rPr>
        <w:instrText xml:space="preserve"> REF _Ref517698286 \h  \* MERGEFORMAT </w:instrText>
      </w:r>
      <w:r w:rsidR="00495AD0" w:rsidRPr="00495AD0">
        <w:rPr>
          <w:rFonts w:ascii="Times New Roman" w:hAnsi="Times New Roman"/>
          <w:noProof w:val="0"/>
          <w:color w:val="000000" w:themeColor="text1"/>
          <w:sz w:val="20"/>
          <w:lang w:eastAsia="zh-CN"/>
        </w:rPr>
      </w:r>
      <w:r w:rsidR="00495AD0" w:rsidRPr="00495AD0">
        <w:rPr>
          <w:rFonts w:ascii="Times New Roman" w:hAnsi="Times New Roman"/>
          <w:noProof w:val="0"/>
          <w:color w:val="000000" w:themeColor="text1"/>
          <w:sz w:val="20"/>
          <w:lang w:eastAsia="zh-CN"/>
        </w:rPr>
        <w:fldChar w:fldCharType="separate"/>
      </w:r>
      <w:r w:rsidR="00495AD0" w:rsidRPr="00495AD0">
        <w:rPr>
          <w:rFonts w:ascii="Times New Roman" w:hAnsi="Times New Roman"/>
          <w:sz w:val="20"/>
        </w:rPr>
        <w:t>Table 1</w:t>
      </w:r>
      <w:r w:rsidR="00495AD0" w:rsidRPr="00495AD0">
        <w:rPr>
          <w:rFonts w:ascii="Times New Roman" w:hAnsi="Times New Roman"/>
          <w:noProof w:val="0"/>
          <w:color w:val="000000" w:themeColor="text1"/>
          <w:sz w:val="20"/>
          <w:lang w:eastAsia="zh-CN"/>
        </w:rPr>
        <w:fldChar w:fldCharType="end"/>
      </w:r>
      <w:r w:rsidR="00495AD0">
        <w:rPr>
          <w:rFonts w:ascii="Times New Roman" w:hAnsi="Times New Roman"/>
          <w:noProof w:val="0"/>
          <w:color w:val="000000" w:themeColor="text1"/>
          <w:sz w:val="20"/>
          <w:lang w:eastAsia="zh-CN"/>
        </w:rPr>
        <w:t xml:space="preserve"> </w:t>
      </w:r>
      <w:r w:rsidRPr="0021445F">
        <w:rPr>
          <w:rFonts w:ascii="Times New Roman" w:hAnsi="Times New Roman"/>
          <w:noProof w:val="0"/>
          <w:color w:val="000000" w:themeColor="text1"/>
          <w:sz w:val="20"/>
          <w:lang w:eastAsia="zh-CN"/>
        </w:rPr>
        <w:t xml:space="preserve">below, </w:t>
      </w:r>
    </w:p>
    <w:p w14:paraId="061D2BA9" w14:textId="77777777" w:rsidR="00495AD0" w:rsidRDefault="00495AD0" w:rsidP="00495AD0">
      <w:pPr>
        <w:pStyle w:val="Caption"/>
        <w:jc w:val="center"/>
        <w:rPr>
          <w:sz w:val="18"/>
          <w:szCs w:val="18"/>
        </w:rPr>
      </w:pPr>
    </w:p>
    <w:p w14:paraId="22DD1B71" w14:textId="4F2A66E5" w:rsidR="003F284B" w:rsidRPr="00495AD0" w:rsidRDefault="00495AD0" w:rsidP="00495AD0">
      <w:pPr>
        <w:pStyle w:val="Caption"/>
        <w:jc w:val="center"/>
        <w:rPr>
          <w:b w:val="0"/>
          <w:sz w:val="18"/>
          <w:szCs w:val="18"/>
          <w:lang w:eastAsia="zh-CN"/>
        </w:rPr>
      </w:pPr>
      <w:bookmarkStart w:id="3" w:name="_Ref517698286"/>
      <w:r w:rsidRPr="00495AD0">
        <w:rPr>
          <w:sz w:val="18"/>
          <w:szCs w:val="18"/>
        </w:rPr>
        <w:t xml:space="preserve">Table </w:t>
      </w:r>
      <w:r w:rsidRPr="00495AD0">
        <w:rPr>
          <w:sz w:val="18"/>
          <w:szCs w:val="18"/>
        </w:rPr>
        <w:fldChar w:fldCharType="begin"/>
      </w:r>
      <w:r w:rsidRPr="00495AD0">
        <w:rPr>
          <w:sz w:val="18"/>
          <w:szCs w:val="18"/>
        </w:rPr>
        <w:instrText xml:space="preserve"> SEQ Table \* ARABIC </w:instrText>
      </w:r>
      <w:r w:rsidRPr="00495AD0">
        <w:rPr>
          <w:sz w:val="18"/>
          <w:szCs w:val="18"/>
        </w:rPr>
        <w:fldChar w:fldCharType="separate"/>
      </w:r>
      <w:r w:rsidRPr="00495AD0">
        <w:rPr>
          <w:noProof/>
          <w:sz w:val="18"/>
          <w:szCs w:val="18"/>
        </w:rPr>
        <w:t>1</w:t>
      </w:r>
      <w:r w:rsidRPr="00495AD0">
        <w:rPr>
          <w:sz w:val="18"/>
          <w:szCs w:val="18"/>
        </w:rPr>
        <w:fldChar w:fldCharType="end"/>
      </w:r>
      <w:bookmarkEnd w:id="3"/>
      <w:r w:rsidRPr="00495AD0">
        <w:rPr>
          <w:sz w:val="18"/>
          <w:szCs w:val="18"/>
        </w:rPr>
        <w:t>: BWP switching delay</w:t>
      </w:r>
    </w:p>
    <w:tbl>
      <w:tblPr>
        <w:tblW w:w="5570" w:type="dxa"/>
        <w:jc w:val="center"/>
        <w:tblCellMar>
          <w:left w:w="0" w:type="dxa"/>
          <w:right w:w="0" w:type="dxa"/>
        </w:tblCellMar>
        <w:tblLook w:val="04A0" w:firstRow="1" w:lastRow="0" w:firstColumn="1" w:lastColumn="0" w:noHBand="0" w:noVBand="1"/>
      </w:tblPr>
      <w:tblGrid>
        <w:gridCol w:w="992"/>
        <w:gridCol w:w="1248"/>
        <w:gridCol w:w="1260"/>
        <w:gridCol w:w="2070"/>
      </w:tblGrid>
      <w:tr w:rsidR="00690CD7" w:rsidRPr="003F284B" w14:paraId="69E596DB" w14:textId="77777777" w:rsidTr="000D605B">
        <w:trPr>
          <w:trHeight w:val="445"/>
          <w:jc w:val="center"/>
        </w:trPr>
        <w:tc>
          <w:tcPr>
            <w:tcW w:w="992"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vAlign w:val="center"/>
            <w:hideMark/>
          </w:tcPr>
          <w:p w14:paraId="20DCB05C" w14:textId="77777777" w:rsidR="00690CD7" w:rsidRPr="0021445F" w:rsidRDefault="00690CD7" w:rsidP="003F284B">
            <w:pPr>
              <w:snapToGrid w:val="0"/>
              <w:spacing w:before="0" w:after="0"/>
              <w:jc w:val="center"/>
              <w:rPr>
                <w:bCs/>
                <w:sz w:val="18"/>
                <w:szCs w:val="18"/>
                <w:lang w:val="en-US"/>
              </w:rPr>
            </w:pPr>
            <w:r w:rsidRPr="0021445F">
              <w:rPr>
                <w:bCs/>
                <w:sz w:val="18"/>
                <w:szCs w:val="18"/>
                <w:lang w:val="en-US"/>
              </w:rPr>
              <w:t>SCS</w:t>
            </w:r>
          </w:p>
        </w:tc>
        <w:tc>
          <w:tcPr>
            <w:tcW w:w="1248"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hideMark/>
          </w:tcPr>
          <w:p w14:paraId="06D4534C" w14:textId="2F2DB8A6" w:rsidR="00690CD7" w:rsidRPr="0021445F" w:rsidRDefault="00690CD7" w:rsidP="003F284B">
            <w:pPr>
              <w:snapToGrid w:val="0"/>
              <w:spacing w:before="0" w:after="0"/>
              <w:jc w:val="center"/>
              <w:rPr>
                <w:bCs/>
                <w:sz w:val="18"/>
                <w:szCs w:val="18"/>
                <w:lang w:val="en-US"/>
              </w:rPr>
            </w:pPr>
            <w:r w:rsidRPr="0021445F">
              <w:rPr>
                <w:bCs/>
                <w:sz w:val="18"/>
                <w:szCs w:val="18"/>
                <w:lang w:val="en-US"/>
              </w:rPr>
              <w:t>Type 1 delay in Slot</w:t>
            </w:r>
          </w:p>
        </w:tc>
        <w:tc>
          <w:tcPr>
            <w:tcW w:w="1260"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hideMark/>
          </w:tcPr>
          <w:p w14:paraId="512ED004" w14:textId="77777777" w:rsidR="00690CD7" w:rsidRPr="0021445F" w:rsidRDefault="00690CD7" w:rsidP="003F284B">
            <w:pPr>
              <w:snapToGrid w:val="0"/>
              <w:spacing w:before="0" w:after="0"/>
              <w:jc w:val="center"/>
              <w:rPr>
                <w:bCs/>
                <w:sz w:val="18"/>
                <w:szCs w:val="18"/>
                <w:lang w:val="en-US"/>
              </w:rPr>
            </w:pPr>
            <w:r w:rsidRPr="0021445F">
              <w:rPr>
                <w:bCs/>
                <w:sz w:val="18"/>
                <w:szCs w:val="18"/>
                <w:lang w:val="en-US"/>
              </w:rPr>
              <w:t>Type 2 delay in Slot</w:t>
            </w:r>
          </w:p>
        </w:tc>
        <w:tc>
          <w:tcPr>
            <w:tcW w:w="2070"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vAlign w:val="center"/>
            <w:hideMark/>
          </w:tcPr>
          <w:p w14:paraId="0BEEF97B" w14:textId="77777777" w:rsidR="00690CD7" w:rsidRPr="0021445F" w:rsidRDefault="00690CD7" w:rsidP="003F284B">
            <w:pPr>
              <w:snapToGrid w:val="0"/>
              <w:spacing w:before="0" w:after="0"/>
              <w:jc w:val="center"/>
              <w:rPr>
                <w:bCs/>
                <w:sz w:val="18"/>
                <w:szCs w:val="18"/>
                <w:lang w:val="en-US"/>
              </w:rPr>
            </w:pPr>
            <w:r w:rsidRPr="0021445F">
              <w:rPr>
                <w:bCs/>
                <w:sz w:val="18"/>
                <w:szCs w:val="18"/>
                <w:lang w:val="en-US"/>
              </w:rPr>
              <w:t>Comment</w:t>
            </w:r>
          </w:p>
        </w:tc>
      </w:tr>
      <w:tr w:rsidR="00690CD7" w:rsidRPr="003F284B" w14:paraId="61C6D604" w14:textId="77777777" w:rsidTr="000D605B">
        <w:trPr>
          <w:trHeight w:val="223"/>
          <w:jc w:val="center"/>
        </w:trPr>
        <w:tc>
          <w:tcPr>
            <w:tcW w:w="992" w:type="dxa"/>
            <w:vMerge w:val="restart"/>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27D95216"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15kHz</w:t>
            </w:r>
          </w:p>
        </w:tc>
        <w:tc>
          <w:tcPr>
            <w:tcW w:w="1248" w:type="dxa"/>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3B5AF697" w14:textId="6A1B00C9" w:rsidR="00690CD7" w:rsidRPr="0021445F" w:rsidRDefault="00690CD7" w:rsidP="00190EDF">
            <w:pPr>
              <w:snapToGrid w:val="0"/>
              <w:spacing w:before="0" w:after="0"/>
              <w:jc w:val="center"/>
              <w:rPr>
                <w:bCs/>
                <w:sz w:val="18"/>
                <w:szCs w:val="18"/>
                <w:lang w:val="en-US"/>
              </w:rPr>
            </w:pPr>
            <w:r w:rsidRPr="0021445F">
              <w:rPr>
                <w:bCs/>
                <w:sz w:val="18"/>
                <w:szCs w:val="18"/>
                <w:lang w:val="en-US"/>
              </w:rPr>
              <w:t>1</w:t>
            </w:r>
          </w:p>
        </w:tc>
        <w:tc>
          <w:tcPr>
            <w:tcW w:w="1260" w:type="dxa"/>
            <w:tcBorders>
              <w:top w:val="single" w:sz="1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60A1AA1" w14:textId="03145E50" w:rsidR="00690CD7" w:rsidRPr="00B67838" w:rsidRDefault="00494942" w:rsidP="00190EDF">
            <w:pPr>
              <w:snapToGrid w:val="0"/>
              <w:spacing w:before="0" w:after="0"/>
              <w:jc w:val="center"/>
              <w:rPr>
                <w:bCs/>
                <w:sz w:val="18"/>
                <w:szCs w:val="18"/>
                <w:lang w:val="en-US"/>
              </w:rPr>
            </w:pPr>
            <w:r>
              <w:rPr>
                <w:bCs/>
                <w:sz w:val="18"/>
                <w:szCs w:val="18"/>
                <w:lang w:val="en-US"/>
              </w:rPr>
              <w:t>4</w:t>
            </w:r>
          </w:p>
        </w:tc>
        <w:tc>
          <w:tcPr>
            <w:tcW w:w="207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5CAC8713"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1/2/3</w:t>
            </w:r>
          </w:p>
        </w:tc>
      </w:tr>
      <w:tr w:rsidR="00690CD7" w:rsidRPr="003F284B" w14:paraId="6EE8A4F7" w14:textId="77777777" w:rsidTr="000D605B">
        <w:trPr>
          <w:trHeight w:val="223"/>
          <w:jc w:val="center"/>
        </w:trPr>
        <w:tc>
          <w:tcPr>
            <w:tcW w:w="992" w:type="dxa"/>
            <w:vMerge/>
            <w:tcBorders>
              <w:top w:val="single" w:sz="18" w:space="0" w:color="000000"/>
              <w:left w:val="single" w:sz="8" w:space="0" w:color="000000"/>
              <w:bottom w:val="single" w:sz="8" w:space="0" w:color="000000"/>
              <w:right w:val="single" w:sz="8" w:space="0" w:color="000000"/>
            </w:tcBorders>
            <w:vAlign w:val="center"/>
            <w:hideMark/>
          </w:tcPr>
          <w:p w14:paraId="240D49CC" w14:textId="77777777" w:rsidR="00690CD7" w:rsidRPr="0021445F" w:rsidRDefault="00690CD7" w:rsidP="00190EDF">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B7AE201" w14:textId="64FDAF16" w:rsidR="00690CD7" w:rsidRPr="0021445F" w:rsidRDefault="00690CD7" w:rsidP="00190EDF">
            <w:pPr>
              <w:snapToGrid w:val="0"/>
              <w:spacing w:before="0" w:after="0"/>
              <w:jc w:val="center"/>
              <w:rPr>
                <w:bCs/>
                <w:sz w:val="18"/>
                <w:szCs w:val="18"/>
                <w:lang w:val="en-US"/>
              </w:rPr>
            </w:pPr>
            <w:r w:rsidRPr="0021445F">
              <w:rPr>
                <w:bCs/>
                <w:sz w:val="18"/>
                <w:szCs w:val="18"/>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41D3AB" w14:textId="5E757D60" w:rsidR="00690CD7" w:rsidRPr="00B67838" w:rsidRDefault="00E830B1" w:rsidP="00190EDF">
            <w:pPr>
              <w:snapToGrid w:val="0"/>
              <w:spacing w:before="0" w:after="0"/>
              <w:jc w:val="center"/>
              <w:rPr>
                <w:bCs/>
                <w:sz w:val="18"/>
                <w:szCs w:val="18"/>
                <w:lang w:val="en-US"/>
              </w:rPr>
            </w:pPr>
            <w:r w:rsidRPr="00B67838">
              <w:rPr>
                <w:bCs/>
                <w:sz w:val="18"/>
                <w:szCs w:val="18"/>
                <w:lang w:val="en-US"/>
              </w:rPr>
              <w:t>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46201B6"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4</w:t>
            </w:r>
          </w:p>
        </w:tc>
      </w:tr>
      <w:tr w:rsidR="00690CD7" w:rsidRPr="003F284B" w14:paraId="45E097DF" w14:textId="77777777" w:rsidTr="000D605B">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6E0D8FB0"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30kHz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6BBEAA7F" w14:textId="1891F077" w:rsidR="00690CD7" w:rsidRPr="0021445F" w:rsidRDefault="00690CD7" w:rsidP="00190EDF">
            <w:pPr>
              <w:snapToGrid w:val="0"/>
              <w:spacing w:before="0" w:after="0"/>
              <w:jc w:val="center"/>
              <w:rPr>
                <w:bCs/>
                <w:sz w:val="18"/>
                <w:szCs w:val="18"/>
                <w:lang w:val="en-US"/>
              </w:rPr>
            </w:pPr>
            <w:r w:rsidRPr="0021445F">
              <w:rPr>
                <w:bCs/>
                <w:sz w:val="18"/>
                <w:szCs w:val="18"/>
                <w:lang w:val="en-US"/>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64B152" w14:textId="34CB103B" w:rsidR="00690CD7" w:rsidRPr="00B67838" w:rsidRDefault="00494942" w:rsidP="00190EDF">
            <w:pPr>
              <w:snapToGrid w:val="0"/>
              <w:spacing w:before="0" w:after="0"/>
              <w:jc w:val="center"/>
              <w:rPr>
                <w:bCs/>
                <w:sz w:val="18"/>
                <w:szCs w:val="18"/>
                <w:lang w:val="en-US"/>
              </w:rPr>
            </w:pPr>
            <w:r>
              <w:rPr>
                <w:bCs/>
                <w:sz w:val="18"/>
                <w:szCs w:val="18"/>
                <w:lang w:val="en-US"/>
              </w:rPr>
              <w:t>8</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1CF38922"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1/2/3</w:t>
            </w:r>
          </w:p>
        </w:tc>
      </w:tr>
      <w:tr w:rsidR="00690CD7" w:rsidRPr="003F284B" w14:paraId="4FCEF991" w14:textId="77777777" w:rsidTr="000D605B">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542F1A88" w14:textId="77777777" w:rsidR="00690CD7" w:rsidRPr="0021445F" w:rsidRDefault="00690CD7" w:rsidP="00190EDF">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7722CD" w14:textId="0D494CF2" w:rsidR="00690CD7" w:rsidRPr="0021445F" w:rsidRDefault="00690CD7" w:rsidP="00190EDF">
            <w:pPr>
              <w:snapToGrid w:val="0"/>
              <w:spacing w:before="0" w:after="0"/>
              <w:jc w:val="center"/>
              <w:rPr>
                <w:bCs/>
                <w:sz w:val="18"/>
                <w:szCs w:val="18"/>
                <w:lang w:val="en-US"/>
              </w:rPr>
            </w:pPr>
            <w:r w:rsidRPr="0021445F">
              <w:rPr>
                <w:bCs/>
                <w:sz w:val="18"/>
                <w:szCs w:val="18"/>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2424A7A" w14:textId="0B760476" w:rsidR="00690CD7" w:rsidRPr="00B67838" w:rsidRDefault="00021B81" w:rsidP="00190EDF">
            <w:pPr>
              <w:snapToGrid w:val="0"/>
              <w:spacing w:before="0" w:after="0"/>
              <w:jc w:val="center"/>
              <w:rPr>
                <w:bCs/>
                <w:sz w:val="18"/>
                <w:szCs w:val="18"/>
                <w:lang w:val="en-US"/>
              </w:rPr>
            </w:pPr>
            <w:r w:rsidRPr="00B67838">
              <w:rPr>
                <w:bCs/>
                <w:sz w:val="18"/>
                <w:szCs w:val="18"/>
                <w:lang w:val="en-US"/>
              </w:rPr>
              <w:t>6</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2FFB77"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4</w:t>
            </w:r>
          </w:p>
        </w:tc>
      </w:tr>
      <w:tr w:rsidR="00690CD7" w:rsidRPr="003F284B" w14:paraId="42EBB99B" w14:textId="77777777" w:rsidTr="000D605B">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52491ABF"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60kHz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1DF29C5F" w14:textId="77697AF3" w:rsidR="00690CD7" w:rsidRPr="0021445F" w:rsidRDefault="00690CD7" w:rsidP="00190EDF">
            <w:pPr>
              <w:snapToGrid w:val="0"/>
              <w:spacing w:before="0" w:after="0"/>
              <w:jc w:val="center"/>
              <w:rPr>
                <w:bCs/>
                <w:sz w:val="18"/>
                <w:szCs w:val="18"/>
                <w:lang w:val="en-US"/>
              </w:rPr>
            </w:pPr>
            <w:r w:rsidRPr="0021445F">
              <w:rPr>
                <w:bCs/>
                <w:sz w:val="18"/>
                <w:szCs w:val="18"/>
                <w:lang w:val="en-US"/>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CAAE54" w14:textId="1E104D8B" w:rsidR="00690CD7" w:rsidRPr="00B67838" w:rsidRDefault="00494942" w:rsidP="00190EDF">
            <w:pPr>
              <w:snapToGrid w:val="0"/>
              <w:spacing w:before="0" w:after="0"/>
              <w:jc w:val="center"/>
              <w:rPr>
                <w:bCs/>
                <w:sz w:val="18"/>
                <w:szCs w:val="18"/>
                <w:lang w:val="en-US"/>
              </w:rPr>
            </w:pPr>
            <w:r>
              <w:rPr>
                <w:bCs/>
                <w:sz w:val="18"/>
                <w:szCs w:val="18"/>
                <w:lang w:val="en-US"/>
              </w:rPr>
              <w:t>16</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358ED0C4"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1/2/3</w:t>
            </w:r>
          </w:p>
        </w:tc>
      </w:tr>
      <w:tr w:rsidR="00690CD7" w:rsidRPr="003F284B" w14:paraId="02D34A4D" w14:textId="77777777" w:rsidTr="000D605B">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683C574F" w14:textId="77777777" w:rsidR="00690CD7" w:rsidRPr="0021445F" w:rsidRDefault="00690CD7" w:rsidP="00190EDF">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81370B" w14:textId="49436238" w:rsidR="00690CD7" w:rsidRPr="0021445F" w:rsidRDefault="00690CD7" w:rsidP="00190EDF">
            <w:pPr>
              <w:snapToGrid w:val="0"/>
              <w:spacing w:before="0" w:after="0"/>
              <w:jc w:val="center"/>
              <w:rPr>
                <w:bCs/>
                <w:sz w:val="18"/>
                <w:szCs w:val="18"/>
                <w:lang w:val="en-US"/>
              </w:rPr>
            </w:pPr>
            <w:r w:rsidRPr="0021445F">
              <w:rPr>
                <w:bCs/>
                <w:sz w:val="18"/>
                <w:szCs w:val="18"/>
                <w:lang w:val="en-US"/>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77F1134" w14:textId="17159F92" w:rsidR="00690CD7" w:rsidRPr="00B67838" w:rsidRDefault="00021B81" w:rsidP="00190EDF">
            <w:pPr>
              <w:snapToGrid w:val="0"/>
              <w:spacing w:before="0" w:after="0"/>
              <w:jc w:val="center"/>
              <w:rPr>
                <w:bCs/>
                <w:sz w:val="18"/>
                <w:szCs w:val="18"/>
                <w:lang w:val="en-US"/>
              </w:rPr>
            </w:pPr>
            <w:r w:rsidRPr="00B67838">
              <w:rPr>
                <w:bCs/>
                <w:sz w:val="18"/>
                <w:szCs w:val="18"/>
                <w:lang w:val="en-US"/>
              </w:rPr>
              <w:t>12</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0C3CE6F"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4</w:t>
            </w:r>
          </w:p>
        </w:tc>
      </w:tr>
      <w:tr w:rsidR="00690CD7" w:rsidRPr="003F284B" w14:paraId="4E0261C7" w14:textId="77777777" w:rsidTr="000D605B">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7ED61481"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120kHz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52CFD835" w14:textId="74532A1A" w:rsidR="00690CD7" w:rsidRPr="0021445F" w:rsidRDefault="00690CD7" w:rsidP="00190EDF">
            <w:pPr>
              <w:snapToGrid w:val="0"/>
              <w:spacing w:before="0" w:after="0"/>
              <w:jc w:val="center"/>
              <w:rPr>
                <w:bCs/>
                <w:sz w:val="18"/>
                <w:szCs w:val="18"/>
                <w:lang w:val="en-US"/>
              </w:rPr>
            </w:pPr>
            <w:r w:rsidRPr="0021445F">
              <w:rPr>
                <w:bCs/>
                <w:sz w:val="18"/>
                <w:szCs w:val="18"/>
                <w:lang w:val="en-US"/>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AAB2E8" w14:textId="67E6EFF8" w:rsidR="00690CD7" w:rsidRPr="00B67838" w:rsidRDefault="00494942" w:rsidP="00190EDF">
            <w:pPr>
              <w:snapToGrid w:val="0"/>
              <w:spacing w:before="0" w:after="0"/>
              <w:jc w:val="center"/>
              <w:rPr>
                <w:bCs/>
                <w:sz w:val="18"/>
                <w:szCs w:val="18"/>
                <w:lang w:val="en-US"/>
              </w:rPr>
            </w:pPr>
            <w:r>
              <w:rPr>
                <w:bCs/>
                <w:sz w:val="18"/>
                <w:szCs w:val="18"/>
                <w:lang w:val="en-US"/>
              </w:rPr>
              <w:t>32</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379E4679"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1/2/3</w:t>
            </w:r>
          </w:p>
        </w:tc>
      </w:tr>
      <w:tr w:rsidR="00690CD7" w:rsidRPr="003F284B" w14:paraId="313B885F" w14:textId="77777777" w:rsidTr="000D605B">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4C6DF69E" w14:textId="77777777" w:rsidR="00690CD7" w:rsidRPr="0021445F" w:rsidRDefault="00690CD7" w:rsidP="00190EDF">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11F26E4" w14:textId="41167FE4" w:rsidR="00690CD7" w:rsidRPr="0021445F" w:rsidRDefault="00690CD7" w:rsidP="00190EDF">
            <w:pPr>
              <w:snapToGrid w:val="0"/>
              <w:spacing w:before="0" w:after="0"/>
              <w:jc w:val="center"/>
              <w:rPr>
                <w:bCs/>
                <w:sz w:val="18"/>
                <w:szCs w:val="18"/>
                <w:lang w:val="en-US"/>
              </w:rPr>
            </w:pPr>
            <w:r w:rsidRPr="0021445F">
              <w:rPr>
                <w:bCs/>
                <w:sz w:val="18"/>
                <w:szCs w:val="18"/>
                <w:lang w:val="en-US"/>
              </w:rPr>
              <w:t>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D33BFE0" w14:textId="5204DD9B" w:rsidR="00690CD7" w:rsidRPr="00B67838" w:rsidRDefault="00021B81" w:rsidP="00190EDF">
            <w:pPr>
              <w:snapToGrid w:val="0"/>
              <w:spacing w:before="0" w:after="0"/>
              <w:jc w:val="center"/>
              <w:rPr>
                <w:bCs/>
                <w:sz w:val="18"/>
                <w:szCs w:val="18"/>
                <w:lang w:val="en-US"/>
              </w:rPr>
            </w:pPr>
            <w:r w:rsidRPr="00B67838">
              <w:rPr>
                <w:bCs/>
                <w:sz w:val="18"/>
                <w:szCs w:val="18"/>
                <w:lang w:val="en-US"/>
              </w:rPr>
              <w:t>24</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554CCA4" w14:textId="77777777" w:rsidR="00690CD7" w:rsidRPr="0021445F" w:rsidRDefault="00690CD7" w:rsidP="00190EDF">
            <w:pPr>
              <w:snapToGrid w:val="0"/>
              <w:spacing w:before="0" w:after="0"/>
              <w:jc w:val="center"/>
              <w:rPr>
                <w:bCs/>
                <w:sz w:val="18"/>
                <w:szCs w:val="18"/>
                <w:lang w:val="en-US"/>
              </w:rPr>
            </w:pPr>
            <w:r w:rsidRPr="0021445F">
              <w:rPr>
                <w:bCs/>
                <w:sz w:val="18"/>
                <w:szCs w:val="18"/>
                <w:lang w:val="en-US"/>
              </w:rPr>
              <w:t>Scenario 4</w:t>
            </w:r>
          </w:p>
        </w:tc>
      </w:tr>
    </w:tbl>
    <w:p w14:paraId="107C81EC" w14:textId="77777777" w:rsidR="00A8282D" w:rsidRPr="00EE7DBD" w:rsidRDefault="00A8282D">
      <w:pPr>
        <w:pStyle w:val="Header"/>
        <w:snapToGrid w:val="0"/>
        <w:rPr>
          <w:rFonts w:ascii="Times New Roman" w:hAnsi="Times New Roman"/>
          <w:noProof w:val="0"/>
          <w:color w:val="000000" w:themeColor="text1"/>
          <w:sz w:val="20"/>
          <w:lang w:eastAsia="zh-CN"/>
        </w:rPr>
      </w:pPr>
    </w:p>
    <w:p w14:paraId="3B7BA5D6" w14:textId="7B316311" w:rsidR="0089287B" w:rsidRPr="00495AD0" w:rsidRDefault="00495AD0">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The proposed delay </w:t>
      </w:r>
      <w:r w:rsidR="004D4119">
        <w:rPr>
          <w:rFonts w:ascii="Times New Roman" w:hAnsi="Times New Roman"/>
          <w:noProof w:val="0"/>
          <w:color w:val="000000" w:themeColor="text1"/>
          <w:sz w:val="20"/>
          <w:lang w:eastAsia="zh-CN"/>
        </w:rPr>
        <w:t xml:space="preserve">in </w:t>
      </w:r>
      <w:r w:rsidR="004D4119" w:rsidRPr="00495AD0">
        <w:rPr>
          <w:rFonts w:ascii="Times New Roman" w:hAnsi="Times New Roman"/>
          <w:noProof w:val="0"/>
          <w:color w:val="000000" w:themeColor="text1"/>
          <w:sz w:val="20"/>
          <w:lang w:eastAsia="zh-CN"/>
        </w:rPr>
        <w:fldChar w:fldCharType="begin"/>
      </w:r>
      <w:r w:rsidR="004D4119" w:rsidRPr="00495AD0">
        <w:rPr>
          <w:rFonts w:ascii="Times New Roman" w:hAnsi="Times New Roman"/>
          <w:noProof w:val="0"/>
          <w:color w:val="000000" w:themeColor="text1"/>
          <w:sz w:val="20"/>
          <w:lang w:eastAsia="zh-CN"/>
        </w:rPr>
        <w:instrText xml:space="preserve"> REF _Ref517698286 \h  \* MERGEFORMAT </w:instrText>
      </w:r>
      <w:r w:rsidR="004D4119" w:rsidRPr="00495AD0">
        <w:rPr>
          <w:rFonts w:ascii="Times New Roman" w:hAnsi="Times New Roman"/>
          <w:noProof w:val="0"/>
          <w:color w:val="000000" w:themeColor="text1"/>
          <w:sz w:val="20"/>
          <w:lang w:eastAsia="zh-CN"/>
        </w:rPr>
      </w:r>
      <w:r w:rsidR="004D4119" w:rsidRPr="00495AD0">
        <w:rPr>
          <w:rFonts w:ascii="Times New Roman" w:hAnsi="Times New Roman"/>
          <w:noProof w:val="0"/>
          <w:color w:val="000000" w:themeColor="text1"/>
          <w:sz w:val="20"/>
          <w:lang w:eastAsia="zh-CN"/>
        </w:rPr>
        <w:fldChar w:fldCharType="separate"/>
      </w:r>
      <w:r w:rsidR="004D4119" w:rsidRPr="00495AD0">
        <w:rPr>
          <w:rFonts w:ascii="Times New Roman" w:hAnsi="Times New Roman"/>
          <w:sz w:val="20"/>
        </w:rPr>
        <w:t>Table 1</w:t>
      </w:r>
      <w:r w:rsidR="004D4119" w:rsidRPr="00495AD0">
        <w:rPr>
          <w:rFonts w:ascii="Times New Roman" w:hAnsi="Times New Roman"/>
          <w:noProof w:val="0"/>
          <w:color w:val="000000" w:themeColor="text1"/>
          <w:sz w:val="20"/>
          <w:lang w:eastAsia="zh-CN"/>
        </w:rPr>
        <w:fldChar w:fldCharType="end"/>
      </w:r>
      <w:r w:rsidR="004D4119">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is for</w:t>
      </w:r>
      <w:r w:rsidRPr="00495AD0">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the</w:t>
      </w:r>
      <w:r w:rsidR="0089287B" w:rsidRPr="00495AD0">
        <w:rPr>
          <w:rFonts w:ascii="Times New Roman" w:hAnsi="Times New Roman"/>
          <w:noProof w:val="0"/>
          <w:color w:val="000000" w:themeColor="text1"/>
          <w:sz w:val="20"/>
          <w:lang w:eastAsia="zh-CN"/>
        </w:rPr>
        <w:t xml:space="preserve"> </w:t>
      </w:r>
      <w:r w:rsidRPr="00495AD0">
        <w:rPr>
          <w:rFonts w:ascii="Times New Roman" w:hAnsi="Times New Roman"/>
          <w:noProof w:val="0"/>
          <w:color w:val="000000" w:themeColor="text1"/>
          <w:sz w:val="20"/>
          <w:lang w:eastAsia="zh-CN"/>
        </w:rPr>
        <w:t>BWP switching</w:t>
      </w:r>
      <w:r w:rsidR="0089287B" w:rsidRPr="00495AD0">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on one single serving cell.</w:t>
      </w:r>
      <w:r w:rsidR="0089287B" w:rsidRPr="00495AD0">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I</w:t>
      </w:r>
      <w:r w:rsidRPr="00495AD0">
        <w:rPr>
          <w:rFonts w:ascii="Times New Roman" w:hAnsi="Times New Roman"/>
          <w:noProof w:val="0"/>
          <w:color w:val="000000" w:themeColor="text1"/>
          <w:sz w:val="20"/>
          <w:lang w:eastAsia="zh-CN"/>
        </w:rPr>
        <w:t xml:space="preserve">f </w:t>
      </w:r>
      <w:r>
        <w:rPr>
          <w:rFonts w:ascii="Times New Roman" w:hAnsi="Times New Roman"/>
          <w:noProof w:val="0"/>
          <w:color w:val="000000" w:themeColor="text1"/>
          <w:sz w:val="20"/>
          <w:lang w:eastAsia="zh-CN"/>
        </w:rPr>
        <w:t xml:space="preserve">there are multiple </w:t>
      </w:r>
      <w:r w:rsidRPr="00495AD0">
        <w:rPr>
          <w:rFonts w:ascii="Times New Roman" w:hAnsi="Times New Roman"/>
          <w:noProof w:val="0"/>
          <w:color w:val="000000" w:themeColor="text1"/>
          <w:sz w:val="20"/>
          <w:lang w:eastAsia="zh-CN"/>
        </w:rPr>
        <w:t>BWP switch</w:t>
      </w:r>
      <w:r>
        <w:rPr>
          <w:rFonts w:ascii="Times New Roman" w:hAnsi="Times New Roman"/>
          <w:noProof w:val="0"/>
          <w:color w:val="000000" w:themeColor="text1"/>
          <w:sz w:val="20"/>
          <w:lang w:eastAsia="zh-CN"/>
        </w:rPr>
        <w:t xml:space="preserve">es for </w:t>
      </w:r>
      <w:r w:rsidR="0089287B" w:rsidRPr="00495AD0">
        <w:rPr>
          <w:rFonts w:ascii="Times New Roman" w:hAnsi="Times New Roman"/>
          <w:noProof w:val="0"/>
          <w:color w:val="000000" w:themeColor="text1"/>
          <w:sz w:val="20"/>
          <w:lang w:eastAsia="zh-CN"/>
        </w:rPr>
        <w:t>multiple</w:t>
      </w:r>
      <w:r>
        <w:rPr>
          <w:rFonts w:ascii="Times New Roman" w:hAnsi="Times New Roman"/>
          <w:noProof w:val="0"/>
          <w:color w:val="000000" w:themeColor="text1"/>
          <w:sz w:val="20"/>
          <w:lang w:eastAsia="zh-CN"/>
        </w:rPr>
        <w:t xml:space="preserve"> serving cells, </w:t>
      </w:r>
      <w:r w:rsidR="00A44DEF">
        <w:rPr>
          <w:rFonts w:ascii="Times New Roman" w:hAnsi="Times New Roman"/>
          <w:noProof w:val="0"/>
          <w:color w:val="000000" w:themeColor="text1"/>
          <w:sz w:val="20"/>
          <w:lang w:eastAsia="zh-CN"/>
        </w:rPr>
        <w:t>the requirement</w:t>
      </w:r>
      <w:r>
        <w:rPr>
          <w:rFonts w:ascii="Times New Roman" w:hAnsi="Times New Roman"/>
          <w:noProof w:val="0"/>
          <w:color w:val="000000" w:themeColor="text1"/>
          <w:sz w:val="20"/>
          <w:lang w:eastAsia="zh-CN"/>
        </w:rPr>
        <w:t xml:space="preserve"> BWP switching delay is</w:t>
      </w:r>
      <w:r w:rsidR="0089287B" w:rsidRPr="00495AD0">
        <w:rPr>
          <w:rFonts w:ascii="Times New Roman" w:hAnsi="Times New Roman"/>
          <w:noProof w:val="0"/>
          <w:color w:val="000000" w:themeColor="text1"/>
          <w:sz w:val="20"/>
          <w:lang w:eastAsia="zh-CN"/>
        </w:rPr>
        <w:t xml:space="preserve"> FFS.</w:t>
      </w:r>
    </w:p>
    <w:p w14:paraId="753C7B43" w14:textId="77777777" w:rsidR="0089287B" w:rsidRDefault="0089287B">
      <w:pPr>
        <w:pStyle w:val="Header"/>
        <w:snapToGrid w:val="0"/>
        <w:rPr>
          <w:rFonts w:ascii="Times New Roman" w:hAnsi="Times New Roman"/>
          <w:b w:val="0"/>
          <w:noProof w:val="0"/>
          <w:color w:val="000000" w:themeColor="text1"/>
          <w:sz w:val="20"/>
          <w:lang w:eastAsia="zh-CN"/>
        </w:rPr>
      </w:pPr>
    </w:p>
    <w:p w14:paraId="71ECD46F" w14:textId="6966E358" w:rsidR="003F0D84" w:rsidRDefault="003F0D84">
      <w:pPr>
        <w:pStyle w:val="Header"/>
        <w:snapToGrid w:val="0"/>
        <w:rPr>
          <w:rFonts w:ascii="Times New Roman" w:hAnsi="Times New Roman"/>
          <w:b w:val="0"/>
          <w:noProof w:val="0"/>
          <w:color w:val="000000" w:themeColor="text1"/>
          <w:sz w:val="20"/>
          <w:lang w:eastAsia="zh-CN"/>
        </w:rPr>
      </w:pPr>
      <w:r>
        <w:rPr>
          <w:rFonts w:ascii="Times New Roman" w:hAnsi="Times New Roman"/>
          <w:b w:val="0"/>
          <w:noProof w:val="0"/>
          <w:color w:val="000000" w:themeColor="text1"/>
          <w:sz w:val="20"/>
          <w:lang w:eastAsia="zh-CN"/>
        </w:rPr>
        <w:t xml:space="preserve">The baseband BWP switching configuration parameters including CP length, DCI format change will cause the same BWP switching delay as the SCS change in scenario 4.  In addition, the BWP switching delay will impact the UE channel estimation since UE will not detect DMRS during the delay time. Thus, performance degradation is expected </w:t>
      </w:r>
      <w:r>
        <w:rPr>
          <w:rFonts w:ascii="Times New Roman" w:hAnsi="Times New Roman"/>
          <w:b w:val="0"/>
          <w:noProof w:val="0"/>
          <w:color w:val="000000" w:themeColor="text1"/>
          <w:sz w:val="20"/>
          <w:lang w:eastAsia="zh-CN"/>
        </w:rPr>
        <w:lastRenderedPageBreak/>
        <w:t xml:space="preserve">due to this fact. However, </w:t>
      </w:r>
      <w:r w:rsidR="00EC3755">
        <w:rPr>
          <w:rFonts w:ascii="Times New Roman" w:hAnsi="Times New Roman"/>
          <w:b w:val="0"/>
          <w:noProof w:val="0"/>
          <w:color w:val="000000" w:themeColor="text1"/>
          <w:sz w:val="20"/>
          <w:lang w:eastAsia="zh-CN"/>
        </w:rPr>
        <w:t xml:space="preserve">no additional BWP switching delay is expected for UE channel estimation. </w:t>
      </w:r>
      <w:r>
        <w:rPr>
          <w:rFonts w:ascii="Times New Roman" w:hAnsi="Times New Roman"/>
          <w:b w:val="0"/>
          <w:noProof w:val="0"/>
          <w:color w:val="000000" w:themeColor="text1"/>
          <w:sz w:val="20"/>
          <w:lang w:eastAsia="zh-CN"/>
        </w:rPr>
        <w:t xml:space="preserve"> </w:t>
      </w:r>
    </w:p>
    <w:p w14:paraId="259E9286" w14:textId="77777777" w:rsidR="003F0D84" w:rsidRPr="003F0D84" w:rsidRDefault="003F0D84">
      <w:pPr>
        <w:pStyle w:val="Header"/>
        <w:snapToGrid w:val="0"/>
        <w:rPr>
          <w:rFonts w:ascii="Times New Roman" w:hAnsi="Times New Roman"/>
          <w:b w:val="0"/>
          <w:noProof w:val="0"/>
          <w:color w:val="000000" w:themeColor="text1"/>
          <w:sz w:val="20"/>
          <w:lang w:eastAsia="zh-CN"/>
        </w:rPr>
      </w:pPr>
    </w:p>
    <w:p w14:paraId="1825595E" w14:textId="3E45F754" w:rsidR="00A8282D" w:rsidRDefault="0021445F">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w:t>
      </w:r>
      <w:r w:rsidR="00A8282D" w:rsidRPr="00EE7DBD">
        <w:rPr>
          <w:rFonts w:ascii="Times New Roman" w:hAnsi="Times New Roman"/>
          <w:noProof w:val="0"/>
          <w:color w:val="000000" w:themeColor="text1"/>
          <w:sz w:val="20"/>
          <w:lang w:eastAsia="zh-CN"/>
        </w:rPr>
        <w:t xml:space="preserve">:  </w:t>
      </w:r>
      <w:r w:rsidRPr="0021445F">
        <w:rPr>
          <w:rFonts w:ascii="Times New Roman" w:hAnsi="Times New Roman"/>
          <w:noProof w:val="0"/>
          <w:color w:val="000000" w:themeColor="text1"/>
          <w:sz w:val="20"/>
          <w:lang w:val="en-GB" w:eastAsia="zh-CN"/>
        </w:rPr>
        <w:t>BWP switching due to only baseband parameters change has the same delay as BWP</w:t>
      </w:r>
      <w:r>
        <w:rPr>
          <w:rFonts w:ascii="Times New Roman" w:hAnsi="Times New Roman"/>
          <w:noProof w:val="0"/>
          <w:color w:val="000000" w:themeColor="text1"/>
          <w:sz w:val="20"/>
          <w:lang w:val="en-GB" w:eastAsia="zh-CN"/>
        </w:rPr>
        <w:t xml:space="preserve"> switching in scenario 4 in which SCS changes only.</w:t>
      </w:r>
    </w:p>
    <w:p w14:paraId="41216401" w14:textId="77777777" w:rsidR="00A22B26" w:rsidRDefault="00A22B26">
      <w:pPr>
        <w:pStyle w:val="Header"/>
        <w:snapToGrid w:val="0"/>
        <w:rPr>
          <w:rFonts w:ascii="Times New Roman" w:hAnsi="Times New Roman"/>
          <w:noProof w:val="0"/>
          <w:color w:val="000000" w:themeColor="text1"/>
          <w:sz w:val="20"/>
          <w:lang w:eastAsia="zh-CN"/>
        </w:rPr>
      </w:pPr>
    </w:p>
    <w:p w14:paraId="11691568" w14:textId="4E207F27" w:rsidR="00A22B26" w:rsidRPr="005D3B2A" w:rsidRDefault="0021445F" w:rsidP="00A22B26">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3</w:t>
      </w:r>
      <w:r w:rsidR="00A22B26">
        <w:rPr>
          <w:rFonts w:ascii="Times New Roman" w:hAnsi="Times New Roman"/>
          <w:noProof w:val="0"/>
          <w:color w:val="000000" w:themeColor="text1"/>
          <w:sz w:val="20"/>
          <w:lang w:eastAsia="zh-CN"/>
        </w:rPr>
        <w:t xml:space="preserve">: </w:t>
      </w:r>
      <w:r w:rsidRPr="0021445F">
        <w:rPr>
          <w:rFonts w:ascii="Times New Roman" w:hAnsi="Times New Roman"/>
          <w:noProof w:val="0"/>
          <w:color w:val="000000" w:themeColor="text1"/>
          <w:sz w:val="20"/>
          <w:lang w:val="en-GB" w:eastAsia="zh-CN"/>
        </w:rPr>
        <w:t>No additional BWP switching delay is needed for UE channel estimation</w:t>
      </w:r>
      <w:r>
        <w:rPr>
          <w:rFonts w:ascii="Times New Roman" w:hAnsi="Times New Roman"/>
          <w:noProof w:val="0"/>
          <w:color w:val="000000" w:themeColor="text1"/>
          <w:sz w:val="20"/>
          <w:lang w:val="en-GB" w:eastAsia="zh-CN"/>
        </w:rPr>
        <w:t>.</w:t>
      </w:r>
    </w:p>
    <w:p w14:paraId="720A6E17" w14:textId="6BE21EC6" w:rsidR="00A8282D" w:rsidRPr="009258F1" w:rsidRDefault="00A8282D">
      <w:pPr>
        <w:pStyle w:val="Header"/>
        <w:snapToGrid w:val="0"/>
        <w:rPr>
          <w:rFonts w:ascii="Times New Roman" w:hAnsi="Times New Roman"/>
          <w:b w:val="0"/>
          <w:noProof w:val="0"/>
          <w:sz w:val="20"/>
          <w:lang w:eastAsia="zh-CN"/>
        </w:rPr>
      </w:pPr>
      <w:r>
        <w:rPr>
          <w:rFonts w:ascii="Times New Roman" w:hAnsi="Times New Roman"/>
          <w:b w:val="0"/>
          <w:noProof w:val="0"/>
          <w:sz w:val="20"/>
          <w:lang w:eastAsia="zh-CN"/>
        </w:rPr>
        <w:t xml:space="preserve"> </w:t>
      </w: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39EA7BD3" w:rsidR="009F05AF" w:rsidRDefault="009F05AF" w:rsidP="00567C52">
      <w:pPr>
        <w:spacing w:before="0" w:after="180"/>
        <w:contextualSpacing/>
        <w:rPr>
          <w:lang w:val="en-US" w:eastAsia="zh-CN"/>
        </w:rPr>
      </w:pPr>
      <w:r>
        <w:rPr>
          <w:lang w:val="en-US" w:eastAsia="zh-CN"/>
        </w:rPr>
        <w:t xml:space="preserve">In this contribution, we firstly clarify the definition </w:t>
      </w:r>
      <w:r w:rsidR="00EC3755">
        <w:rPr>
          <w:lang w:val="en-US" w:eastAsia="zh-CN"/>
        </w:rPr>
        <w:t xml:space="preserve">on </w:t>
      </w:r>
      <w:r>
        <w:rPr>
          <w:lang w:val="en-US" w:eastAsia="zh-CN"/>
        </w:rPr>
        <w:t xml:space="preserve">BWP switching delay and </w:t>
      </w:r>
      <w:r w:rsidR="00EC3755">
        <w:rPr>
          <w:lang w:val="en-US" w:eastAsia="zh-CN"/>
        </w:rPr>
        <w:t>the components in the delay duration</w:t>
      </w:r>
      <w:r>
        <w:rPr>
          <w:lang w:val="en-US" w:eastAsia="zh-CN"/>
        </w:rPr>
        <w:t>.</w:t>
      </w:r>
      <w:r w:rsidR="00EC3755">
        <w:rPr>
          <w:lang w:val="en-US" w:eastAsia="zh-CN"/>
        </w:rPr>
        <w:t xml:space="preserve"> The proposals are listed as follows,</w:t>
      </w:r>
    </w:p>
    <w:p w14:paraId="2541E582" w14:textId="77777777" w:rsidR="004D4119" w:rsidRPr="0021445F" w:rsidRDefault="004D4119" w:rsidP="004D4119">
      <w:pPr>
        <w:pStyle w:val="Header"/>
        <w:snapToGrid w:val="0"/>
        <w:rPr>
          <w:rFonts w:ascii="Times New Roman" w:hAnsi="Times New Roman"/>
          <w:noProof w:val="0"/>
          <w:color w:val="000000" w:themeColor="text1"/>
          <w:sz w:val="20"/>
          <w:lang w:eastAsia="zh-CN"/>
        </w:rPr>
      </w:pPr>
      <w:r w:rsidRPr="0021445F">
        <w:rPr>
          <w:rFonts w:ascii="Times New Roman" w:hAnsi="Times New Roman"/>
          <w:noProof w:val="0"/>
          <w:color w:val="000000" w:themeColor="text1"/>
          <w:sz w:val="20"/>
          <w:lang w:eastAsia="zh-CN"/>
        </w:rPr>
        <w:t xml:space="preserve">Proposal 1: </w:t>
      </w:r>
      <w:r>
        <w:rPr>
          <w:rFonts w:ascii="Times New Roman" w:hAnsi="Times New Roman"/>
          <w:noProof w:val="0"/>
          <w:color w:val="000000" w:themeColor="text1"/>
          <w:sz w:val="20"/>
          <w:lang w:eastAsia="zh-CN"/>
        </w:rPr>
        <w:t xml:space="preserve">If </w:t>
      </w:r>
      <w:r w:rsidRPr="0089287B">
        <w:rPr>
          <w:rFonts w:ascii="Times New Roman" w:hAnsi="Times New Roman"/>
          <w:noProof w:val="0"/>
          <w:color w:val="000000" w:themeColor="text1"/>
          <w:sz w:val="20"/>
          <w:lang w:eastAsia="zh-CN"/>
        </w:rPr>
        <w:t xml:space="preserve">BWP switching delay </w:t>
      </w:r>
      <w:r>
        <w:rPr>
          <w:rFonts w:ascii="Times New Roman" w:hAnsi="Times New Roman"/>
          <w:noProof w:val="0"/>
          <w:color w:val="000000" w:themeColor="text1"/>
          <w:sz w:val="20"/>
          <w:lang w:eastAsia="zh-CN"/>
        </w:rPr>
        <w:t>does not coincide</w:t>
      </w:r>
      <w:r w:rsidRPr="0089287B">
        <w:rPr>
          <w:rFonts w:ascii="Times New Roman" w:hAnsi="Times New Roman"/>
          <w:noProof w:val="0"/>
          <w:color w:val="000000" w:themeColor="text1"/>
          <w:sz w:val="20"/>
          <w:lang w:eastAsia="zh-CN"/>
        </w:rPr>
        <w:t xml:space="preserve"> with </w:t>
      </w:r>
      <w:r>
        <w:rPr>
          <w:rFonts w:ascii="Times New Roman" w:hAnsi="Times New Roman"/>
          <w:noProof w:val="0"/>
          <w:color w:val="000000" w:themeColor="text1"/>
          <w:sz w:val="20"/>
          <w:lang w:eastAsia="zh-CN"/>
        </w:rPr>
        <w:t xml:space="preserve">any on-going inter-frequency/intra-frequency </w:t>
      </w:r>
      <w:r w:rsidRPr="0089287B">
        <w:rPr>
          <w:rFonts w:ascii="Times New Roman" w:hAnsi="Times New Roman"/>
          <w:noProof w:val="0"/>
          <w:color w:val="000000" w:themeColor="text1"/>
          <w:sz w:val="20"/>
          <w:lang w:eastAsia="zh-CN"/>
        </w:rPr>
        <w:t>measurement</w:t>
      </w:r>
      <w:r>
        <w:rPr>
          <w:rFonts w:ascii="Times New Roman" w:hAnsi="Times New Roman"/>
          <w:noProof w:val="0"/>
          <w:color w:val="000000" w:themeColor="text1"/>
          <w:sz w:val="20"/>
          <w:lang w:eastAsia="zh-CN"/>
        </w:rPr>
        <w:t>,</w:t>
      </w:r>
      <w:r w:rsidRPr="0089287B">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the total BWP switching delay is defined in</w:t>
      </w:r>
      <w:r w:rsidRPr="0021445F">
        <w:rPr>
          <w:rFonts w:ascii="Times New Roman" w:hAnsi="Times New Roman"/>
          <w:noProof w:val="0"/>
          <w:color w:val="000000" w:themeColor="text1"/>
          <w:sz w:val="20"/>
          <w:lang w:eastAsia="zh-CN"/>
        </w:rPr>
        <w:t xml:space="preserve"> </w:t>
      </w:r>
      <w:r w:rsidRPr="00495AD0">
        <w:rPr>
          <w:rFonts w:ascii="Times New Roman" w:hAnsi="Times New Roman"/>
          <w:noProof w:val="0"/>
          <w:color w:val="000000" w:themeColor="text1"/>
          <w:sz w:val="20"/>
          <w:lang w:eastAsia="zh-CN"/>
        </w:rPr>
        <w:fldChar w:fldCharType="begin"/>
      </w:r>
      <w:r w:rsidRPr="00495AD0">
        <w:rPr>
          <w:rFonts w:ascii="Times New Roman" w:hAnsi="Times New Roman"/>
          <w:noProof w:val="0"/>
          <w:color w:val="000000" w:themeColor="text1"/>
          <w:sz w:val="20"/>
          <w:lang w:eastAsia="zh-CN"/>
        </w:rPr>
        <w:instrText xml:space="preserve"> REF _Ref517698286 \h  \* MERGEFORMAT </w:instrText>
      </w:r>
      <w:r w:rsidRPr="00495AD0">
        <w:rPr>
          <w:rFonts w:ascii="Times New Roman" w:hAnsi="Times New Roman"/>
          <w:noProof w:val="0"/>
          <w:color w:val="000000" w:themeColor="text1"/>
          <w:sz w:val="20"/>
          <w:lang w:eastAsia="zh-CN"/>
        </w:rPr>
      </w:r>
      <w:r w:rsidRPr="00495AD0">
        <w:rPr>
          <w:rFonts w:ascii="Times New Roman" w:hAnsi="Times New Roman"/>
          <w:noProof w:val="0"/>
          <w:color w:val="000000" w:themeColor="text1"/>
          <w:sz w:val="20"/>
          <w:lang w:eastAsia="zh-CN"/>
        </w:rPr>
        <w:fldChar w:fldCharType="separate"/>
      </w:r>
      <w:r w:rsidRPr="00495AD0">
        <w:rPr>
          <w:rFonts w:ascii="Times New Roman" w:hAnsi="Times New Roman"/>
          <w:sz w:val="20"/>
        </w:rPr>
        <w:t>Table 1</w:t>
      </w:r>
      <w:r w:rsidRPr="00495AD0">
        <w:rPr>
          <w:rFonts w:ascii="Times New Roman" w:hAnsi="Times New Roman"/>
          <w:noProof w:val="0"/>
          <w:color w:val="000000" w:themeColor="text1"/>
          <w:sz w:val="20"/>
          <w:lang w:eastAsia="zh-CN"/>
        </w:rPr>
        <w:fldChar w:fldCharType="end"/>
      </w:r>
      <w:r>
        <w:rPr>
          <w:rFonts w:ascii="Times New Roman" w:hAnsi="Times New Roman"/>
          <w:noProof w:val="0"/>
          <w:color w:val="000000" w:themeColor="text1"/>
          <w:sz w:val="20"/>
          <w:lang w:eastAsia="zh-CN"/>
        </w:rPr>
        <w:t xml:space="preserve"> </w:t>
      </w:r>
      <w:r w:rsidRPr="0021445F">
        <w:rPr>
          <w:rFonts w:ascii="Times New Roman" w:hAnsi="Times New Roman"/>
          <w:noProof w:val="0"/>
          <w:color w:val="000000" w:themeColor="text1"/>
          <w:sz w:val="20"/>
          <w:lang w:eastAsia="zh-CN"/>
        </w:rPr>
        <w:t xml:space="preserve">below, </w:t>
      </w:r>
    </w:p>
    <w:p w14:paraId="6C0E6BD7" w14:textId="77777777" w:rsidR="004D4119" w:rsidRDefault="004D4119" w:rsidP="004D4119">
      <w:pPr>
        <w:pStyle w:val="Caption"/>
        <w:jc w:val="center"/>
        <w:rPr>
          <w:sz w:val="18"/>
          <w:szCs w:val="18"/>
        </w:rPr>
      </w:pPr>
    </w:p>
    <w:p w14:paraId="004BF91E" w14:textId="77777777" w:rsidR="004D4119" w:rsidRPr="00495AD0" w:rsidRDefault="004D4119" w:rsidP="004D4119">
      <w:pPr>
        <w:pStyle w:val="Caption"/>
        <w:jc w:val="center"/>
        <w:rPr>
          <w:b w:val="0"/>
          <w:sz w:val="18"/>
          <w:szCs w:val="18"/>
          <w:lang w:eastAsia="zh-CN"/>
        </w:rPr>
      </w:pPr>
      <w:r w:rsidRPr="00495AD0">
        <w:rPr>
          <w:sz w:val="18"/>
          <w:szCs w:val="18"/>
        </w:rPr>
        <w:t xml:space="preserve">Table </w:t>
      </w:r>
      <w:r w:rsidRPr="00495AD0">
        <w:rPr>
          <w:sz w:val="18"/>
          <w:szCs w:val="18"/>
        </w:rPr>
        <w:fldChar w:fldCharType="begin"/>
      </w:r>
      <w:r w:rsidRPr="00495AD0">
        <w:rPr>
          <w:sz w:val="18"/>
          <w:szCs w:val="18"/>
        </w:rPr>
        <w:instrText xml:space="preserve"> SEQ Table \* ARABIC </w:instrText>
      </w:r>
      <w:r w:rsidRPr="00495AD0">
        <w:rPr>
          <w:sz w:val="18"/>
          <w:szCs w:val="18"/>
        </w:rPr>
        <w:fldChar w:fldCharType="separate"/>
      </w:r>
      <w:r w:rsidRPr="00495AD0">
        <w:rPr>
          <w:noProof/>
          <w:sz w:val="18"/>
          <w:szCs w:val="18"/>
        </w:rPr>
        <w:t>1</w:t>
      </w:r>
      <w:r w:rsidRPr="00495AD0">
        <w:rPr>
          <w:sz w:val="18"/>
          <w:szCs w:val="18"/>
        </w:rPr>
        <w:fldChar w:fldCharType="end"/>
      </w:r>
      <w:r w:rsidRPr="00495AD0">
        <w:rPr>
          <w:sz w:val="18"/>
          <w:szCs w:val="18"/>
        </w:rPr>
        <w:t>: BWP switching delay</w:t>
      </w:r>
    </w:p>
    <w:tbl>
      <w:tblPr>
        <w:tblW w:w="5570" w:type="dxa"/>
        <w:jc w:val="center"/>
        <w:tblCellMar>
          <w:left w:w="0" w:type="dxa"/>
          <w:right w:w="0" w:type="dxa"/>
        </w:tblCellMar>
        <w:tblLook w:val="04A0" w:firstRow="1" w:lastRow="0" w:firstColumn="1" w:lastColumn="0" w:noHBand="0" w:noVBand="1"/>
      </w:tblPr>
      <w:tblGrid>
        <w:gridCol w:w="992"/>
        <w:gridCol w:w="1248"/>
        <w:gridCol w:w="1260"/>
        <w:gridCol w:w="2070"/>
      </w:tblGrid>
      <w:tr w:rsidR="004D4119" w:rsidRPr="003F284B" w14:paraId="2771A4DB" w14:textId="77777777" w:rsidTr="000F6433">
        <w:trPr>
          <w:trHeight w:val="445"/>
          <w:jc w:val="center"/>
        </w:trPr>
        <w:tc>
          <w:tcPr>
            <w:tcW w:w="992"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vAlign w:val="center"/>
            <w:hideMark/>
          </w:tcPr>
          <w:p w14:paraId="7DA0977C"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SCS</w:t>
            </w:r>
          </w:p>
        </w:tc>
        <w:tc>
          <w:tcPr>
            <w:tcW w:w="1248"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hideMark/>
          </w:tcPr>
          <w:p w14:paraId="14E07AF8"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Type 1 delay in Slot</w:t>
            </w:r>
          </w:p>
        </w:tc>
        <w:tc>
          <w:tcPr>
            <w:tcW w:w="1260"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hideMark/>
          </w:tcPr>
          <w:p w14:paraId="02DA34D2"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Type 2 delay in Slot</w:t>
            </w:r>
          </w:p>
        </w:tc>
        <w:tc>
          <w:tcPr>
            <w:tcW w:w="2070" w:type="dxa"/>
            <w:tcBorders>
              <w:top w:val="single" w:sz="8" w:space="0" w:color="000000"/>
              <w:left w:val="single" w:sz="8" w:space="0" w:color="000000"/>
              <w:bottom w:val="single" w:sz="18" w:space="0" w:color="000000"/>
              <w:right w:val="single" w:sz="8" w:space="0" w:color="000000"/>
            </w:tcBorders>
            <w:shd w:val="clear" w:color="auto" w:fill="auto"/>
            <w:tcMar>
              <w:top w:w="15" w:type="dxa"/>
              <w:left w:w="81" w:type="dxa"/>
              <w:bottom w:w="0" w:type="dxa"/>
              <w:right w:w="81" w:type="dxa"/>
            </w:tcMar>
            <w:vAlign w:val="center"/>
            <w:hideMark/>
          </w:tcPr>
          <w:p w14:paraId="0828FCA9"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Comment</w:t>
            </w:r>
          </w:p>
        </w:tc>
      </w:tr>
      <w:tr w:rsidR="004D4119" w:rsidRPr="003F284B" w14:paraId="356E1513" w14:textId="77777777" w:rsidTr="000F6433">
        <w:trPr>
          <w:trHeight w:val="223"/>
          <w:jc w:val="center"/>
        </w:trPr>
        <w:tc>
          <w:tcPr>
            <w:tcW w:w="992" w:type="dxa"/>
            <w:vMerge w:val="restart"/>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4DCE3EA3"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15kHz</w:t>
            </w:r>
          </w:p>
        </w:tc>
        <w:tc>
          <w:tcPr>
            <w:tcW w:w="1248" w:type="dxa"/>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7C45E30B"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1</w:t>
            </w:r>
          </w:p>
        </w:tc>
        <w:tc>
          <w:tcPr>
            <w:tcW w:w="1260" w:type="dxa"/>
            <w:tcBorders>
              <w:top w:val="single" w:sz="1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0240DD7" w14:textId="77777777" w:rsidR="004D4119" w:rsidRPr="00B67838" w:rsidRDefault="004D4119" w:rsidP="000F6433">
            <w:pPr>
              <w:snapToGrid w:val="0"/>
              <w:spacing w:before="0" w:after="0"/>
              <w:jc w:val="center"/>
              <w:rPr>
                <w:bCs/>
                <w:sz w:val="18"/>
                <w:szCs w:val="18"/>
                <w:lang w:val="en-US"/>
              </w:rPr>
            </w:pPr>
            <w:r>
              <w:rPr>
                <w:bCs/>
                <w:sz w:val="18"/>
                <w:szCs w:val="18"/>
                <w:lang w:val="en-US"/>
              </w:rPr>
              <w:t>4</w:t>
            </w:r>
          </w:p>
        </w:tc>
        <w:tc>
          <w:tcPr>
            <w:tcW w:w="2070" w:type="dxa"/>
            <w:tcBorders>
              <w:top w:val="single" w:sz="1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2233B9DD"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1/2/3</w:t>
            </w:r>
          </w:p>
        </w:tc>
      </w:tr>
      <w:tr w:rsidR="004D4119" w:rsidRPr="003F284B" w14:paraId="410556AA" w14:textId="77777777" w:rsidTr="000F6433">
        <w:trPr>
          <w:trHeight w:val="223"/>
          <w:jc w:val="center"/>
        </w:trPr>
        <w:tc>
          <w:tcPr>
            <w:tcW w:w="992" w:type="dxa"/>
            <w:vMerge/>
            <w:tcBorders>
              <w:top w:val="single" w:sz="18" w:space="0" w:color="000000"/>
              <w:left w:val="single" w:sz="8" w:space="0" w:color="000000"/>
              <w:bottom w:val="single" w:sz="8" w:space="0" w:color="000000"/>
              <w:right w:val="single" w:sz="8" w:space="0" w:color="000000"/>
            </w:tcBorders>
            <w:vAlign w:val="center"/>
            <w:hideMark/>
          </w:tcPr>
          <w:p w14:paraId="5B2B3FCF" w14:textId="77777777" w:rsidR="004D4119" w:rsidRPr="0021445F" w:rsidRDefault="004D4119" w:rsidP="000F6433">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3BD419"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448C24" w14:textId="77777777" w:rsidR="004D4119" w:rsidRPr="00B67838" w:rsidRDefault="004D4119" w:rsidP="000F6433">
            <w:pPr>
              <w:snapToGrid w:val="0"/>
              <w:spacing w:before="0" w:after="0"/>
              <w:jc w:val="center"/>
              <w:rPr>
                <w:bCs/>
                <w:sz w:val="18"/>
                <w:szCs w:val="18"/>
                <w:lang w:val="en-US"/>
              </w:rPr>
            </w:pPr>
            <w:r w:rsidRPr="00B67838">
              <w:rPr>
                <w:bCs/>
                <w:sz w:val="18"/>
                <w:szCs w:val="18"/>
                <w:lang w:val="en-US"/>
              </w:rPr>
              <w:t>3</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C0F85F"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4</w:t>
            </w:r>
          </w:p>
        </w:tc>
      </w:tr>
      <w:tr w:rsidR="004D4119" w:rsidRPr="003F284B" w14:paraId="5228D845" w14:textId="77777777" w:rsidTr="000F6433">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04DA95CC"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30kHz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50B16503"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07CFCE1" w14:textId="77777777" w:rsidR="004D4119" w:rsidRPr="00B67838" w:rsidRDefault="004D4119" w:rsidP="000F6433">
            <w:pPr>
              <w:snapToGrid w:val="0"/>
              <w:spacing w:before="0" w:after="0"/>
              <w:jc w:val="center"/>
              <w:rPr>
                <w:bCs/>
                <w:sz w:val="18"/>
                <w:szCs w:val="18"/>
                <w:lang w:val="en-US"/>
              </w:rPr>
            </w:pPr>
            <w:r>
              <w:rPr>
                <w:bCs/>
                <w:sz w:val="18"/>
                <w:szCs w:val="18"/>
                <w:lang w:val="en-US"/>
              </w:rPr>
              <w:t>8</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15FE26F2"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1/2/3</w:t>
            </w:r>
          </w:p>
        </w:tc>
      </w:tr>
      <w:tr w:rsidR="004D4119" w:rsidRPr="003F284B" w14:paraId="30B1FF15" w14:textId="77777777" w:rsidTr="000F6433">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03FDBE6A" w14:textId="77777777" w:rsidR="004D4119" w:rsidRPr="0021445F" w:rsidRDefault="004D4119" w:rsidP="000F6433">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87E98D6"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BBA29A6" w14:textId="77777777" w:rsidR="004D4119" w:rsidRPr="00B67838" w:rsidRDefault="004D4119" w:rsidP="000F6433">
            <w:pPr>
              <w:snapToGrid w:val="0"/>
              <w:spacing w:before="0" w:after="0"/>
              <w:jc w:val="center"/>
              <w:rPr>
                <w:bCs/>
                <w:sz w:val="18"/>
                <w:szCs w:val="18"/>
                <w:lang w:val="en-US"/>
              </w:rPr>
            </w:pPr>
            <w:r w:rsidRPr="00B67838">
              <w:rPr>
                <w:bCs/>
                <w:sz w:val="18"/>
                <w:szCs w:val="18"/>
                <w:lang w:val="en-US"/>
              </w:rPr>
              <w:t>6</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DCB253"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4</w:t>
            </w:r>
          </w:p>
        </w:tc>
      </w:tr>
      <w:tr w:rsidR="004D4119" w:rsidRPr="003F284B" w14:paraId="510C0D4E" w14:textId="77777777" w:rsidTr="000F6433">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379395CE"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60kHz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33E6DD1F"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BDCD92" w14:textId="77777777" w:rsidR="004D4119" w:rsidRPr="00B67838" w:rsidRDefault="004D4119" w:rsidP="000F6433">
            <w:pPr>
              <w:snapToGrid w:val="0"/>
              <w:spacing w:before="0" w:after="0"/>
              <w:jc w:val="center"/>
              <w:rPr>
                <w:bCs/>
                <w:sz w:val="18"/>
                <w:szCs w:val="18"/>
                <w:lang w:val="en-US"/>
              </w:rPr>
            </w:pPr>
            <w:r>
              <w:rPr>
                <w:bCs/>
                <w:sz w:val="18"/>
                <w:szCs w:val="18"/>
                <w:lang w:val="en-US"/>
              </w:rPr>
              <w:t>16</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1E8435AE"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1/2/3</w:t>
            </w:r>
          </w:p>
        </w:tc>
      </w:tr>
      <w:tr w:rsidR="004D4119" w:rsidRPr="003F284B" w14:paraId="5AB9ECED" w14:textId="77777777" w:rsidTr="000F6433">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566752E9" w14:textId="77777777" w:rsidR="004D4119" w:rsidRPr="0021445F" w:rsidRDefault="004D4119" w:rsidP="000F6433">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4E48BDC"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ED6613E" w14:textId="77777777" w:rsidR="004D4119" w:rsidRPr="00B67838" w:rsidRDefault="004D4119" w:rsidP="000F6433">
            <w:pPr>
              <w:snapToGrid w:val="0"/>
              <w:spacing w:before="0" w:after="0"/>
              <w:jc w:val="center"/>
              <w:rPr>
                <w:bCs/>
                <w:sz w:val="18"/>
                <w:szCs w:val="18"/>
                <w:lang w:val="en-US"/>
              </w:rPr>
            </w:pPr>
            <w:r w:rsidRPr="00B67838">
              <w:rPr>
                <w:bCs/>
                <w:sz w:val="18"/>
                <w:szCs w:val="18"/>
                <w:lang w:val="en-US"/>
              </w:rPr>
              <w:t>12</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15D7E0F"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4</w:t>
            </w:r>
          </w:p>
        </w:tc>
      </w:tr>
      <w:tr w:rsidR="004D4119" w:rsidRPr="003F284B" w14:paraId="6269957C" w14:textId="77777777" w:rsidTr="000F6433">
        <w:trPr>
          <w:trHeight w:val="223"/>
          <w:jc w:val="center"/>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vAlign w:val="center"/>
            <w:hideMark/>
          </w:tcPr>
          <w:p w14:paraId="29C31405"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120kHz</w:t>
            </w:r>
          </w:p>
        </w:tc>
        <w:tc>
          <w:tcPr>
            <w:tcW w:w="1248"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3BE3C814"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6</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7F6CF3" w14:textId="77777777" w:rsidR="004D4119" w:rsidRPr="00B67838" w:rsidRDefault="004D4119" w:rsidP="000F6433">
            <w:pPr>
              <w:snapToGrid w:val="0"/>
              <w:spacing w:before="0" w:after="0"/>
              <w:jc w:val="center"/>
              <w:rPr>
                <w:bCs/>
                <w:sz w:val="18"/>
                <w:szCs w:val="18"/>
                <w:lang w:val="en-US"/>
              </w:rPr>
            </w:pPr>
            <w:r>
              <w:rPr>
                <w:bCs/>
                <w:sz w:val="18"/>
                <w:szCs w:val="18"/>
                <w:lang w:val="en-US"/>
              </w:rPr>
              <w:t>32</w:t>
            </w:r>
          </w:p>
        </w:tc>
        <w:tc>
          <w:tcPr>
            <w:tcW w:w="2070" w:type="dxa"/>
            <w:tcBorders>
              <w:top w:val="single" w:sz="8" w:space="0" w:color="000000"/>
              <w:left w:val="single" w:sz="8" w:space="0" w:color="000000"/>
              <w:bottom w:val="single" w:sz="8" w:space="0" w:color="000000"/>
              <w:right w:val="single" w:sz="8" w:space="0" w:color="000000"/>
            </w:tcBorders>
            <w:shd w:val="clear" w:color="auto" w:fill="E7E7E7"/>
            <w:tcMar>
              <w:top w:w="15" w:type="dxa"/>
              <w:left w:w="81" w:type="dxa"/>
              <w:bottom w:w="0" w:type="dxa"/>
              <w:right w:w="81" w:type="dxa"/>
            </w:tcMar>
            <w:hideMark/>
          </w:tcPr>
          <w:p w14:paraId="2F837D45"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1/2/3</w:t>
            </w:r>
          </w:p>
        </w:tc>
      </w:tr>
      <w:tr w:rsidR="004D4119" w:rsidRPr="003F284B" w14:paraId="5A447C4F" w14:textId="77777777" w:rsidTr="000F6433">
        <w:trPr>
          <w:trHeight w:val="223"/>
          <w:jc w:val="center"/>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07989296" w14:textId="77777777" w:rsidR="004D4119" w:rsidRPr="0021445F" w:rsidRDefault="004D4119" w:rsidP="000F6433">
            <w:pPr>
              <w:snapToGrid w:val="0"/>
              <w:spacing w:before="0" w:after="0"/>
              <w:jc w:val="center"/>
              <w:rPr>
                <w:bCs/>
                <w:sz w:val="18"/>
                <w:szCs w:val="18"/>
                <w:lang w:val="en-US"/>
              </w:rPr>
            </w:pPr>
          </w:p>
        </w:tc>
        <w:tc>
          <w:tcPr>
            <w:tcW w:w="1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33C447C"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4</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A1C012B" w14:textId="77777777" w:rsidR="004D4119" w:rsidRPr="00B67838" w:rsidRDefault="004D4119" w:rsidP="000F6433">
            <w:pPr>
              <w:snapToGrid w:val="0"/>
              <w:spacing w:before="0" w:after="0"/>
              <w:jc w:val="center"/>
              <w:rPr>
                <w:bCs/>
                <w:sz w:val="18"/>
                <w:szCs w:val="18"/>
                <w:lang w:val="en-US"/>
              </w:rPr>
            </w:pPr>
            <w:r w:rsidRPr="00B67838">
              <w:rPr>
                <w:bCs/>
                <w:sz w:val="18"/>
                <w:szCs w:val="18"/>
                <w:lang w:val="en-US"/>
              </w:rPr>
              <w:t>24</w:t>
            </w:r>
          </w:p>
        </w:tc>
        <w:tc>
          <w:tcPr>
            <w:tcW w:w="20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65AA56" w14:textId="77777777" w:rsidR="004D4119" w:rsidRPr="0021445F" w:rsidRDefault="004D4119" w:rsidP="000F6433">
            <w:pPr>
              <w:snapToGrid w:val="0"/>
              <w:spacing w:before="0" w:after="0"/>
              <w:jc w:val="center"/>
              <w:rPr>
                <w:bCs/>
                <w:sz w:val="18"/>
                <w:szCs w:val="18"/>
                <w:lang w:val="en-US"/>
              </w:rPr>
            </w:pPr>
            <w:r w:rsidRPr="0021445F">
              <w:rPr>
                <w:bCs/>
                <w:sz w:val="18"/>
                <w:szCs w:val="18"/>
                <w:lang w:val="en-US"/>
              </w:rPr>
              <w:t>Scenario 4</w:t>
            </w:r>
          </w:p>
        </w:tc>
      </w:tr>
    </w:tbl>
    <w:p w14:paraId="1061BF17" w14:textId="77777777" w:rsidR="004D4119" w:rsidRPr="00EE7DBD" w:rsidRDefault="004D4119" w:rsidP="004D4119">
      <w:pPr>
        <w:pStyle w:val="Header"/>
        <w:snapToGrid w:val="0"/>
        <w:rPr>
          <w:rFonts w:ascii="Times New Roman" w:hAnsi="Times New Roman"/>
          <w:noProof w:val="0"/>
          <w:color w:val="000000" w:themeColor="text1"/>
          <w:sz w:val="20"/>
          <w:lang w:eastAsia="zh-CN"/>
        </w:rPr>
      </w:pPr>
    </w:p>
    <w:p w14:paraId="10EC8769" w14:textId="4286DB41" w:rsidR="004D4119" w:rsidRPr="00495AD0" w:rsidRDefault="004D4119" w:rsidP="004D4119">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The proposed delay in </w:t>
      </w:r>
      <w:r w:rsidRPr="00495AD0">
        <w:rPr>
          <w:rFonts w:ascii="Times New Roman" w:hAnsi="Times New Roman"/>
          <w:noProof w:val="0"/>
          <w:color w:val="000000" w:themeColor="text1"/>
          <w:sz w:val="20"/>
          <w:lang w:eastAsia="zh-CN"/>
        </w:rPr>
        <w:fldChar w:fldCharType="begin"/>
      </w:r>
      <w:r w:rsidRPr="00495AD0">
        <w:rPr>
          <w:rFonts w:ascii="Times New Roman" w:hAnsi="Times New Roman"/>
          <w:noProof w:val="0"/>
          <w:color w:val="000000" w:themeColor="text1"/>
          <w:sz w:val="20"/>
          <w:lang w:eastAsia="zh-CN"/>
        </w:rPr>
        <w:instrText xml:space="preserve"> REF _Ref517698286 \h  \* MERGEFORMAT </w:instrText>
      </w:r>
      <w:r w:rsidRPr="00495AD0">
        <w:rPr>
          <w:rFonts w:ascii="Times New Roman" w:hAnsi="Times New Roman"/>
          <w:noProof w:val="0"/>
          <w:color w:val="000000" w:themeColor="text1"/>
          <w:sz w:val="20"/>
          <w:lang w:eastAsia="zh-CN"/>
        </w:rPr>
      </w:r>
      <w:r w:rsidRPr="00495AD0">
        <w:rPr>
          <w:rFonts w:ascii="Times New Roman" w:hAnsi="Times New Roman"/>
          <w:noProof w:val="0"/>
          <w:color w:val="000000" w:themeColor="text1"/>
          <w:sz w:val="20"/>
          <w:lang w:eastAsia="zh-CN"/>
        </w:rPr>
        <w:fldChar w:fldCharType="separate"/>
      </w:r>
      <w:r w:rsidRPr="00495AD0">
        <w:rPr>
          <w:rFonts w:ascii="Times New Roman" w:hAnsi="Times New Roman"/>
          <w:sz w:val="20"/>
        </w:rPr>
        <w:t>Table 1</w:t>
      </w:r>
      <w:r w:rsidRPr="00495AD0">
        <w:rPr>
          <w:rFonts w:ascii="Times New Roman" w:hAnsi="Times New Roman"/>
          <w:noProof w:val="0"/>
          <w:color w:val="000000" w:themeColor="text1"/>
          <w:sz w:val="20"/>
          <w:lang w:eastAsia="zh-CN"/>
        </w:rPr>
        <w:fldChar w:fldCharType="end"/>
      </w:r>
      <w:r>
        <w:rPr>
          <w:rFonts w:ascii="Times New Roman" w:hAnsi="Times New Roman"/>
          <w:noProof w:val="0"/>
          <w:color w:val="000000" w:themeColor="text1"/>
          <w:sz w:val="20"/>
          <w:lang w:eastAsia="zh-CN"/>
        </w:rPr>
        <w:t xml:space="preserve"> is for</w:t>
      </w:r>
      <w:r w:rsidRPr="00495AD0">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the</w:t>
      </w:r>
      <w:r w:rsidRPr="00495AD0">
        <w:rPr>
          <w:rFonts w:ascii="Times New Roman" w:hAnsi="Times New Roman"/>
          <w:noProof w:val="0"/>
          <w:color w:val="000000" w:themeColor="text1"/>
          <w:sz w:val="20"/>
          <w:lang w:eastAsia="zh-CN"/>
        </w:rPr>
        <w:t xml:space="preserve"> BWP switching </w:t>
      </w:r>
      <w:r>
        <w:rPr>
          <w:rFonts w:ascii="Times New Roman" w:hAnsi="Times New Roman"/>
          <w:noProof w:val="0"/>
          <w:color w:val="000000" w:themeColor="text1"/>
          <w:sz w:val="20"/>
          <w:lang w:eastAsia="zh-CN"/>
        </w:rPr>
        <w:t>on one single serving cell.</w:t>
      </w:r>
      <w:r w:rsidRPr="00495AD0">
        <w:rPr>
          <w:rFonts w:ascii="Times New Roman" w:hAnsi="Times New Roman"/>
          <w:noProof w:val="0"/>
          <w:color w:val="000000" w:themeColor="text1"/>
          <w:sz w:val="20"/>
          <w:lang w:eastAsia="zh-CN"/>
        </w:rPr>
        <w:t xml:space="preserve"> </w:t>
      </w:r>
      <w:r>
        <w:rPr>
          <w:rFonts w:ascii="Times New Roman" w:hAnsi="Times New Roman"/>
          <w:noProof w:val="0"/>
          <w:color w:val="000000" w:themeColor="text1"/>
          <w:sz w:val="20"/>
          <w:lang w:eastAsia="zh-CN"/>
        </w:rPr>
        <w:t>I</w:t>
      </w:r>
      <w:r w:rsidRPr="00495AD0">
        <w:rPr>
          <w:rFonts w:ascii="Times New Roman" w:hAnsi="Times New Roman"/>
          <w:noProof w:val="0"/>
          <w:color w:val="000000" w:themeColor="text1"/>
          <w:sz w:val="20"/>
          <w:lang w:eastAsia="zh-CN"/>
        </w:rPr>
        <w:t xml:space="preserve">f </w:t>
      </w:r>
      <w:r>
        <w:rPr>
          <w:rFonts w:ascii="Times New Roman" w:hAnsi="Times New Roman"/>
          <w:noProof w:val="0"/>
          <w:color w:val="000000" w:themeColor="text1"/>
          <w:sz w:val="20"/>
          <w:lang w:eastAsia="zh-CN"/>
        </w:rPr>
        <w:t xml:space="preserve">there are multiple </w:t>
      </w:r>
      <w:r w:rsidRPr="00495AD0">
        <w:rPr>
          <w:rFonts w:ascii="Times New Roman" w:hAnsi="Times New Roman"/>
          <w:noProof w:val="0"/>
          <w:color w:val="000000" w:themeColor="text1"/>
          <w:sz w:val="20"/>
          <w:lang w:eastAsia="zh-CN"/>
        </w:rPr>
        <w:t>BWP switch</w:t>
      </w:r>
      <w:r>
        <w:rPr>
          <w:rFonts w:ascii="Times New Roman" w:hAnsi="Times New Roman"/>
          <w:noProof w:val="0"/>
          <w:color w:val="000000" w:themeColor="text1"/>
          <w:sz w:val="20"/>
          <w:lang w:eastAsia="zh-CN"/>
        </w:rPr>
        <w:t xml:space="preserve">es for </w:t>
      </w:r>
      <w:r w:rsidRPr="00495AD0">
        <w:rPr>
          <w:rFonts w:ascii="Times New Roman" w:hAnsi="Times New Roman"/>
          <w:noProof w:val="0"/>
          <w:color w:val="000000" w:themeColor="text1"/>
          <w:sz w:val="20"/>
          <w:lang w:eastAsia="zh-CN"/>
        </w:rPr>
        <w:t>multiple</w:t>
      </w:r>
      <w:r>
        <w:rPr>
          <w:rFonts w:ascii="Times New Roman" w:hAnsi="Times New Roman"/>
          <w:noProof w:val="0"/>
          <w:color w:val="000000" w:themeColor="text1"/>
          <w:sz w:val="20"/>
          <w:lang w:eastAsia="zh-CN"/>
        </w:rPr>
        <w:t xml:space="preserve"> serving cells, the</w:t>
      </w:r>
      <w:r w:rsidR="00A44DEF">
        <w:rPr>
          <w:rFonts w:ascii="Times New Roman" w:hAnsi="Times New Roman"/>
          <w:noProof w:val="0"/>
          <w:color w:val="000000" w:themeColor="text1"/>
          <w:sz w:val="20"/>
          <w:lang w:eastAsia="zh-CN"/>
        </w:rPr>
        <w:t xml:space="preserve"> requirement for</w:t>
      </w:r>
      <w:r>
        <w:rPr>
          <w:rFonts w:ascii="Times New Roman" w:hAnsi="Times New Roman"/>
          <w:noProof w:val="0"/>
          <w:color w:val="000000" w:themeColor="text1"/>
          <w:sz w:val="20"/>
          <w:lang w:eastAsia="zh-CN"/>
        </w:rPr>
        <w:t xml:space="preserve"> BWP switching delay is</w:t>
      </w:r>
      <w:r w:rsidRPr="00495AD0">
        <w:rPr>
          <w:rFonts w:ascii="Times New Roman" w:hAnsi="Times New Roman"/>
          <w:noProof w:val="0"/>
          <w:color w:val="000000" w:themeColor="text1"/>
          <w:sz w:val="20"/>
          <w:lang w:eastAsia="zh-CN"/>
        </w:rPr>
        <w:t xml:space="preserve"> FFS.</w:t>
      </w:r>
    </w:p>
    <w:p w14:paraId="49E34ED4" w14:textId="77777777" w:rsidR="00EC3755" w:rsidRDefault="00EC3755" w:rsidP="00EC3755">
      <w:pPr>
        <w:pStyle w:val="Header"/>
        <w:snapToGrid w:val="0"/>
        <w:rPr>
          <w:rFonts w:ascii="Times New Roman" w:hAnsi="Times New Roman"/>
          <w:noProof w:val="0"/>
          <w:color w:val="000000" w:themeColor="text1"/>
          <w:sz w:val="20"/>
          <w:lang w:eastAsia="zh-CN"/>
        </w:rPr>
      </w:pPr>
    </w:p>
    <w:p w14:paraId="441FF3B5" w14:textId="77777777" w:rsidR="00EC3755" w:rsidRDefault="00EC3755" w:rsidP="00EC3755">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Proposal 2</w:t>
      </w:r>
      <w:r w:rsidRPr="00EE7DBD">
        <w:rPr>
          <w:rFonts w:ascii="Times New Roman" w:hAnsi="Times New Roman"/>
          <w:noProof w:val="0"/>
          <w:color w:val="000000" w:themeColor="text1"/>
          <w:sz w:val="20"/>
          <w:lang w:eastAsia="zh-CN"/>
        </w:rPr>
        <w:t xml:space="preserve">:  </w:t>
      </w:r>
      <w:r w:rsidRPr="0021445F">
        <w:rPr>
          <w:rFonts w:ascii="Times New Roman" w:hAnsi="Times New Roman"/>
          <w:noProof w:val="0"/>
          <w:color w:val="000000" w:themeColor="text1"/>
          <w:sz w:val="20"/>
          <w:lang w:val="en-GB" w:eastAsia="zh-CN"/>
        </w:rPr>
        <w:t>BWP switching due to only baseband parameters change has the same delay as BWP</w:t>
      </w:r>
      <w:r>
        <w:rPr>
          <w:rFonts w:ascii="Times New Roman" w:hAnsi="Times New Roman"/>
          <w:noProof w:val="0"/>
          <w:color w:val="000000" w:themeColor="text1"/>
          <w:sz w:val="20"/>
          <w:lang w:val="en-GB" w:eastAsia="zh-CN"/>
        </w:rPr>
        <w:t xml:space="preserve"> switching in scenario 4 in which SCS changes only.</w:t>
      </w:r>
    </w:p>
    <w:p w14:paraId="18D542EB" w14:textId="77777777" w:rsidR="00EC3755" w:rsidRDefault="00EC3755" w:rsidP="00EC3755">
      <w:pPr>
        <w:pStyle w:val="Header"/>
        <w:snapToGrid w:val="0"/>
        <w:rPr>
          <w:rFonts w:ascii="Times New Roman" w:hAnsi="Times New Roman"/>
          <w:noProof w:val="0"/>
          <w:color w:val="000000" w:themeColor="text1"/>
          <w:sz w:val="20"/>
          <w:lang w:eastAsia="zh-CN"/>
        </w:rPr>
      </w:pPr>
    </w:p>
    <w:p w14:paraId="180638B7" w14:textId="3053F4DB" w:rsidR="00FF5250" w:rsidRPr="00EC3755" w:rsidRDefault="00EC3755" w:rsidP="00EC3755">
      <w:pPr>
        <w:pStyle w:val="Header"/>
        <w:snapToGrid w:val="0"/>
        <w:rPr>
          <w:rFonts w:ascii="Times New Roman" w:hAnsi="Times New Roman"/>
          <w:noProof w:val="0"/>
          <w:color w:val="000000" w:themeColor="text1"/>
          <w:sz w:val="20"/>
          <w:lang w:eastAsia="zh-CN"/>
        </w:rPr>
      </w:pPr>
      <w:r>
        <w:rPr>
          <w:rFonts w:ascii="Times New Roman" w:hAnsi="Times New Roman"/>
          <w:noProof w:val="0"/>
          <w:color w:val="000000" w:themeColor="text1"/>
          <w:sz w:val="20"/>
          <w:lang w:eastAsia="zh-CN"/>
        </w:rPr>
        <w:t xml:space="preserve">Proposal 3: </w:t>
      </w:r>
      <w:r w:rsidRPr="0021445F">
        <w:rPr>
          <w:rFonts w:ascii="Times New Roman" w:hAnsi="Times New Roman"/>
          <w:noProof w:val="0"/>
          <w:color w:val="000000" w:themeColor="text1"/>
          <w:sz w:val="20"/>
          <w:lang w:val="en-GB" w:eastAsia="zh-CN"/>
        </w:rPr>
        <w:t>No additional BWP switching delay is needed for UE channel estimation</w:t>
      </w:r>
      <w:r>
        <w:rPr>
          <w:rFonts w:ascii="Times New Roman" w:hAnsi="Times New Roman"/>
          <w:noProof w:val="0"/>
          <w:color w:val="000000" w:themeColor="text1"/>
          <w:sz w:val="20"/>
          <w:lang w:val="en-GB"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3651BCC4" w:rsidR="0054171F" w:rsidRDefault="0054171F" w:rsidP="0054171F">
      <w:pPr>
        <w:rPr>
          <w:lang w:eastAsia="zh-CN"/>
        </w:rPr>
      </w:pPr>
      <w:r>
        <w:t xml:space="preserve">[1] </w:t>
      </w:r>
      <w:r w:rsidR="0001238B" w:rsidRPr="0001238B">
        <w:t>R4-1808001</w:t>
      </w:r>
      <w:r>
        <w:t>, “</w:t>
      </w:r>
      <w:r w:rsidRPr="0054171F">
        <w:t>Way forward on BWP Switching</w:t>
      </w:r>
      <w:r>
        <w:t xml:space="preserve">”, </w:t>
      </w:r>
      <w:proofErr w:type="spellStart"/>
      <w:r w:rsidRPr="0054171F">
        <w:t>Mediatek</w:t>
      </w:r>
      <w:proofErr w:type="spellEnd"/>
      <w:r w:rsidRPr="0054171F">
        <w:t xml:space="preserve">, </w:t>
      </w:r>
      <w:r>
        <w:t>RAN4</w:t>
      </w:r>
      <w:r>
        <w:rPr>
          <w:rFonts w:hint="eastAsia"/>
          <w:lang w:eastAsia="zh-CN"/>
        </w:rPr>
        <w:t>#</w:t>
      </w:r>
      <w:r>
        <w:rPr>
          <w:lang w:eastAsia="zh-CN"/>
        </w:rPr>
        <w:t>8</w:t>
      </w:r>
      <w:r w:rsidR="0001238B">
        <w:rPr>
          <w:lang w:eastAsia="zh-CN"/>
        </w:rPr>
        <w:t>7</w:t>
      </w:r>
    </w:p>
    <w:p w14:paraId="0EC1F934" w14:textId="5488471E" w:rsidR="005D767C" w:rsidRPr="009D7AA9" w:rsidRDefault="0054171F" w:rsidP="0032788C">
      <w:pPr>
        <w:rPr>
          <w:lang w:eastAsia="zh-CN"/>
        </w:rPr>
      </w:pPr>
      <w:r>
        <w:t>[2</w:t>
      </w:r>
      <w:r w:rsidR="0032788C">
        <w:t xml:space="preserve">] </w:t>
      </w:r>
      <w:r w:rsidR="00782D8F" w:rsidRPr="00782D8F">
        <w:t>R4-1803283</w:t>
      </w:r>
      <w:r w:rsidR="0032788C">
        <w:t>, “</w:t>
      </w:r>
      <w:r w:rsidR="00782D8F" w:rsidRPr="00782D8F">
        <w:t>LS on BWP switching delay</w:t>
      </w:r>
      <w:r w:rsidR="0032788C">
        <w:t xml:space="preserve">”, </w:t>
      </w:r>
      <w:r w:rsidR="00782D8F">
        <w:t>Intel</w:t>
      </w:r>
      <w:r w:rsidR="00756B86">
        <w:t>, RAN</w:t>
      </w:r>
      <w:r w:rsidR="00782D8F">
        <w:t>4</w:t>
      </w:r>
      <w:r w:rsidR="00756B86">
        <w:rPr>
          <w:rFonts w:hint="eastAsia"/>
          <w:lang w:eastAsia="zh-CN"/>
        </w:rPr>
        <w:t>#</w:t>
      </w:r>
      <w:r w:rsidR="00782D8F">
        <w:rPr>
          <w:lang w:eastAsia="zh-CN"/>
        </w:rPr>
        <w:t>86</w:t>
      </w:r>
    </w:p>
    <w:sectPr w:rsidR="005D767C" w:rsidRPr="009D7AA9"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F6391" w14:textId="77777777" w:rsidR="003C650E" w:rsidRDefault="003C650E">
      <w:r>
        <w:separator/>
      </w:r>
    </w:p>
  </w:endnote>
  <w:endnote w:type="continuationSeparator" w:id="0">
    <w:p w14:paraId="153439BC" w14:textId="77777777" w:rsidR="003C650E" w:rsidRDefault="003C650E">
      <w:r>
        <w:continuationSeparator/>
      </w:r>
    </w:p>
  </w:endnote>
  <w:endnote w:type="continuationNotice" w:id="1">
    <w:p w14:paraId="4801E145" w14:textId="77777777" w:rsidR="003C650E" w:rsidRDefault="003C65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E077E" w:rsidRDefault="009E07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E077E" w:rsidRDefault="009E077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E077E" w:rsidRPr="00DB1239" w:rsidRDefault="009E07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C403B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03B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AAB75" w14:textId="77777777" w:rsidR="003C650E" w:rsidRDefault="003C650E">
      <w:r>
        <w:separator/>
      </w:r>
    </w:p>
  </w:footnote>
  <w:footnote w:type="continuationSeparator" w:id="0">
    <w:p w14:paraId="590DD73A" w14:textId="77777777" w:rsidR="003C650E" w:rsidRDefault="003C650E">
      <w:r>
        <w:continuationSeparator/>
      </w:r>
    </w:p>
  </w:footnote>
  <w:footnote w:type="continuationNotice" w:id="1">
    <w:p w14:paraId="3461E76D" w14:textId="77777777" w:rsidR="003C650E" w:rsidRDefault="003C650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E077E" w:rsidRDefault="009E07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2A901F72"/>
    <w:multiLevelType w:val="hybridMultilevel"/>
    <w:tmpl w:val="1AC202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0"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8"/>
  </w:num>
  <w:num w:numId="4">
    <w:abstractNumId w:val="1"/>
  </w:num>
  <w:num w:numId="5">
    <w:abstractNumId w:val="28"/>
  </w:num>
  <w:num w:numId="6">
    <w:abstractNumId w:val="7"/>
  </w:num>
  <w:num w:numId="7">
    <w:abstractNumId w:val="3"/>
  </w:num>
  <w:num w:numId="8">
    <w:abstractNumId w:val="9"/>
  </w:num>
  <w:num w:numId="9">
    <w:abstractNumId w:val="4"/>
  </w:num>
  <w:num w:numId="10">
    <w:abstractNumId w:val="25"/>
  </w:num>
  <w:num w:numId="11">
    <w:abstractNumId w:val="23"/>
  </w:num>
  <w:num w:numId="12">
    <w:abstractNumId w:val="21"/>
  </w:num>
  <w:num w:numId="13">
    <w:abstractNumId w:val="19"/>
  </w:num>
  <w:num w:numId="14">
    <w:abstractNumId w:val="20"/>
  </w:num>
  <w:num w:numId="15">
    <w:abstractNumId w:val="11"/>
  </w:num>
  <w:num w:numId="16">
    <w:abstractNumId w:val="12"/>
  </w:num>
  <w:num w:numId="17">
    <w:abstractNumId w:val="8"/>
  </w:num>
  <w:num w:numId="18">
    <w:abstractNumId w:val="29"/>
  </w:num>
  <w:num w:numId="19">
    <w:abstractNumId w:val="5"/>
  </w:num>
  <w:num w:numId="20">
    <w:abstractNumId w:val="16"/>
  </w:num>
  <w:num w:numId="21">
    <w:abstractNumId w:val="2"/>
  </w:num>
  <w:num w:numId="22">
    <w:abstractNumId w:val="15"/>
  </w:num>
  <w:num w:numId="23">
    <w:abstractNumId w:val="22"/>
  </w:num>
  <w:num w:numId="24">
    <w:abstractNumId w:val="27"/>
  </w:num>
  <w:num w:numId="25">
    <w:abstractNumId w:val="13"/>
  </w:num>
  <w:num w:numId="26">
    <w:abstractNumId w:val="6"/>
  </w:num>
  <w:num w:numId="27">
    <w:abstractNumId w:val="10"/>
  </w:num>
  <w:num w:numId="28">
    <w:abstractNumId w:val="24"/>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0E"/>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688D"/>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BDD1698-6155-4787-B711-9236C9B9521F}">
  <ds:schemaRefs>
    <ds:schemaRef ds:uri="http://schemas.openxmlformats.org/officeDocument/2006/bibliography"/>
  </ds:schemaRefs>
</ds:datastoreItem>
</file>

<file path=customXml/itemProps5.xml><?xml version="1.0" encoding="utf-8"?>
<ds:datastoreItem xmlns:ds="http://schemas.openxmlformats.org/officeDocument/2006/customXml" ds:itemID="{390B4D70-F487-43D6-B46D-C8406CC0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3</Pages>
  <Words>1142</Words>
  <Characters>5658</Characters>
  <Application>Microsoft Office Word</Application>
  <DocSecurity>0</DocSecurity>
  <Lines>176</Lines>
  <Paragraphs>110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35</cp:revision>
  <cp:lastPrinted>2016-03-30T01:01:00Z</cp:lastPrinted>
  <dcterms:created xsi:type="dcterms:W3CDTF">2018-06-18T21:04:00Z</dcterms:created>
  <dcterms:modified xsi:type="dcterms:W3CDTF">2018-06-25T21:17:00Z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3badb273-fe67-4d91-991f-544a8dd8eb08</vt:lpwstr>
  </property>
  <property fmtid="{D5CDD505-2E9C-101B-9397-08002B2CF9AE}" pid="4" name="CTP_TimeStamp">
    <vt:lpwstr>2018-06-25 21:17:54Z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